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Росстата от 26.12.2024 N 689</w:t>
              <w:br/>
              <w:t xml:space="preserve">"Об утверждении формы федерального статистического наблюдения N 4-экспонаты "Сведения о наличии драгоценных металлов и драгоценных камней в музейных предметах" и указаний по ее заполнению"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20.06.2025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МИНИСТЕРСТВО ЭКОНОМИЧЕСКОГО РАЗВИТИЯ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ФЕДЕРАЛЬНАЯ СЛУЖБА ГОСУДАРСТВЕННОЙ СТАТИСТИКИ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26 декабря 2024 г. N 689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ФОРМЫ ФЕДЕРАЛЬНОГО СТАТИСТИЧЕСКОГО НАБЛЮДЕНИЯ</w:t>
      </w:r>
    </w:p>
    <w:p>
      <w:pPr>
        <w:pStyle w:val="2"/>
        <w:jc w:val="center"/>
      </w:pPr>
      <w:r>
        <w:rPr>
          <w:sz w:val="24"/>
        </w:rPr>
        <w:t xml:space="preserve">N 4-ЭКСПОНАТЫ "СВЕДЕНИЯ О НАЛИЧИИ ДРАГОЦЕННЫХ МЕТАЛЛОВ</w:t>
      </w:r>
    </w:p>
    <w:p>
      <w:pPr>
        <w:pStyle w:val="2"/>
        <w:jc w:val="center"/>
      </w:pPr>
      <w:r>
        <w:rPr>
          <w:sz w:val="24"/>
        </w:rPr>
        <w:t xml:space="preserve">И ДРАГОЦЕННЫХ КАМНЕЙ В МУЗЕЙНЫХ ПРЕДМЕТАХ"</w:t>
      </w:r>
    </w:p>
    <w:p>
      <w:pPr>
        <w:pStyle w:val="2"/>
        <w:jc w:val="center"/>
      </w:pPr>
      <w:r>
        <w:rPr>
          <w:sz w:val="24"/>
        </w:rPr>
        <w:t xml:space="preserve">И УКАЗАНИЙ ПО ЕЕ ЗАПОЛНЕНИЮ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7" w:tooltip="Федеральный закон от 29.11.2007 N 282-ФЗ (ред. от 22.07.2024) &quot;Об официальном статистическом учете и системе государственной статистики в Российской Федерации&quot; {КонсультантПлюс}">
        <w:r>
          <w:rPr>
            <w:sz w:val="24"/>
            <w:color w:val="0000ff"/>
          </w:rPr>
          <w:t xml:space="preserve">частью 4 статьи 6</w:t>
        </w:r>
      </w:hyperlink>
      <w:r>
        <w:rPr>
          <w:sz w:val="24"/>
        </w:rPr>
        <w:t xml:space="preserve"> Федерального закона от 29 ноября 2007 г. N 282-ФЗ "Об официальном статистическом учете и системе государственной статистики в Российской Федерации", </w:t>
      </w:r>
      <w:hyperlink w:history="0" r:id="rId8" w:tooltip="Постановление Правительства РФ от 02.06.2008 N 420 (ред. от 29.11.2024) &quot;О Федеральной службе государственной статистики&quot; {КонсультантПлюс}">
        <w:r>
          <w:rPr>
            <w:sz w:val="24"/>
            <w:color w:val="0000ff"/>
          </w:rPr>
          <w:t xml:space="preserve">подпунктом 5.5 пункта 5</w:t>
        </w:r>
      </w:hyperlink>
      <w:r>
        <w:rPr>
          <w:sz w:val="24"/>
        </w:rPr>
        <w:t xml:space="preserve"> Положения о Федеральной службе государственной статистики, утвержденного постановлением Правительства Российской Федерации от 2 июня 2008 г. N 420, </w:t>
      </w:r>
      <w:hyperlink w:history="0" r:id="rId9" w:tooltip="Приказ Минэкономразвития России от 24.05.2021 N 279 &quot;Об утверждении Порядка утверждения Федеральной службой государственной статистики форм федерального статистического наблюдения и указаний по их заполнению&quot; (Зарегистрировано в Минюсте России 14.09.2021 N 64996) {КонсультантПлюс}">
        <w:r>
          <w:rPr>
            <w:sz w:val="24"/>
            <w:color w:val="0000ff"/>
          </w:rPr>
          <w:t xml:space="preserve">Порядком</w:t>
        </w:r>
      </w:hyperlink>
      <w:r>
        <w:rPr>
          <w:sz w:val="24"/>
        </w:rPr>
        <w:t xml:space="preserve"> утверждения Федеральной службой государственной статистики форм федерального статистического наблюдения и указаний по их заполнению, утвержденным приказом Министерства экономического развития Российской Федерации от 24 мая 2021 г. N 279, в целях реализации </w:t>
      </w:r>
      <w:hyperlink w:history="0" r:id="rId10" w:tooltip="Распоряжение Правительства РФ от 06.05.2008 N 671-р (ред. от 25.02.2025) &lt;Об утверждении Федерального плана статистических работ&gt; (вместе с &quot;Федеральным планом статистических работ&quot;) {КонсультантПлюс}">
        <w:r>
          <w:rPr>
            <w:sz w:val="24"/>
            <w:color w:val="0000ff"/>
          </w:rPr>
          <w:t xml:space="preserve">позиции 54.21</w:t>
        </w:r>
      </w:hyperlink>
      <w:r>
        <w:rPr>
          <w:sz w:val="24"/>
        </w:rPr>
        <w:t xml:space="preserve"> Федерального плана статистических работ, утвержденного распоряжением Правительства Российской Федерации от 6 мая 2008 г. N 671-р, а также учитывая письмо Министерства культуры Российской Федерации от 16 декабря 2024 г. N 19371-01.1-54@-ЖА, приказываю:</w:t>
      </w:r>
    </w:p>
    <w:bookmarkStart w:id="14" w:name="P14"/>
    <w:bookmarkEnd w:id="14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 Утвердить прилагаемую </w:t>
      </w:r>
      <w:hyperlink w:history="0" w:anchor="P32" w:tooltip="СВЕДЕНИЯ">
        <w:r>
          <w:rPr>
            <w:sz w:val="24"/>
            <w:color w:val="0000ff"/>
          </w:rPr>
          <w:t xml:space="preserve">форму</w:t>
        </w:r>
      </w:hyperlink>
      <w:r>
        <w:rPr>
          <w:sz w:val="24"/>
        </w:rPr>
        <w:t xml:space="preserve"> федерального статистического наблюдения N 4-экспонаты "Сведения о наличии драгоценных металлов и драгоценных камней в музейных предметах" и </w:t>
      </w:r>
      <w:hyperlink w:history="0" w:anchor="P311" w:tooltip="Указания по заполнению формы федерального">
        <w:r>
          <w:rPr>
            <w:sz w:val="24"/>
            <w:color w:val="0000ff"/>
          </w:rPr>
          <w:t xml:space="preserve">указания</w:t>
        </w:r>
      </w:hyperlink>
      <w:r>
        <w:rPr>
          <w:sz w:val="24"/>
        </w:rPr>
        <w:t xml:space="preserve"> по ее заполнению.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Определить, что сбор первичных статистических данных по </w:t>
      </w:r>
      <w:hyperlink w:history="0" w:anchor="P32" w:tooltip="СВЕДЕНИЯ">
        <w:r>
          <w:rPr>
            <w:sz w:val="24"/>
            <w:color w:val="0000ff"/>
          </w:rPr>
          <w:t xml:space="preserve">форме</w:t>
        </w:r>
      </w:hyperlink>
      <w:r>
        <w:rPr>
          <w:sz w:val="24"/>
        </w:rPr>
        <w:t xml:space="preserve"> федерального статистического наблюдения, утвержденной </w:t>
      </w:r>
      <w:hyperlink w:history="0" w:anchor="P14" w:tooltip="1. Утвердить прилагаемую форму федерального статистического наблюдения N 4-экспонаты &quot;Сведения о наличии драгоценных металлов и драгоценных камней в музейных предметах&quot; и указания по ее заполнению.">
        <w:r>
          <w:rPr>
            <w:sz w:val="24"/>
            <w:color w:val="0000ff"/>
          </w:rPr>
          <w:t xml:space="preserve">пунктом 1</w:t>
        </w:r>
      </w:hyperlink>
      <w:r>
        <w:rPr>
          <w:sz w:val="24"/>
        </w:rPr>
        <w:t xml:space="preserve"> настоящего приказа, осуществляется начиная с отчетного периода за 2024 год.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Первичные статистические данные по </w:t>
      </w:r>
      <w:hyperlink w:history="0" w:anchor="P32" w:tooltip="СВЕДЕНИЯ">
        <w:r>
          <w:rPr>
            <w:sz w:val="24"/>
            <w:color w:val="0000ff"/>
          </w:rPr>
          <w:t xml:space="preserve">форме</w:t>
        </w:r>
      </w:hyperlink>
      <w:r>
        <w:rPr>
          <w:sz w:val="24"/>
        </w:rPr>
        <w:t xml:space="preserve"> федерального статистического наблюдения, утвержденной настоящим приказом, предоставляются в соответствии с </w:t>
      </w:r>
      <w:hyperlink w:history="0" w:anchor="P311" w:tooltip="Указания по заполнению формы федерального">
        <w:r>
          <w:rPr>
            <w:sz w:val="24"/>
            <w:color w:val="0000ff"/>
          </w:rPr>
          <w:t xml:space="preserve">указаниями</w:t>
        </w:r>
      </w:hyperlink>
      <w:r>
        <w:rPr>
          <w:sz w:val="24"/>
        </w:rPr>
        <w:t xml:space="preserve"> по ее заполнению, в сроки и с периодичностью, которые указаны на бланке этой </w:t>
      </w:r>
      <w:hyperlink w:history="0" w:anchor="P32" w:tooltip="СВЕДЕНИЯ">
        <w:r>
          <w:rPr>
            <w:sz w:val="24"/>
            <w:color w:val="0000ff"/>
          </w:rPr>
          <w:t xml:space="preserve">формы</w:t>
        </w:r>
      </w:hyperlink>
      <w:r>
        <w:rPr>
          <w:sz w:val="24"/>
        </w:rPr>
        <w:t xml:space="preserve">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 Настоящий приказ вступает в силу с 1 января 2025 г.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Заместитель руководителя</w:t>
      </w:r>
    </w:p>
    <w:p>
      <w:pPr>
        <w:pStyle w:val="0"/>
        <w:jc w:val="right"/>
      </w:pPr>
      <w:r>
        <w:rPr>
          <w:sz w:val="24"/>
        </w:rPr>
        <w:t xml:space="preserve">С.Н.ЕГОРЕНКО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66"/>
      </w:tblGrid>
      <w:tr>
        <w:tc>
          <w:tcPr>
            <w:tcW w:w="9066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  <w:outlineLvl w:val="0"/>
              <w:jc w:val="center"/>
            </w:pPr>
            <w:r>
              <w:rPr>
                <w:sz w:val="24"/>
              </w:rPr>
              <w:t xml:space="preserve">ФЕДЕРАЛЬНОЕ СТАТИСТИЧЕСКОЕ НАБЛЮДЕНИЕ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66"/>
      </w:tblGrid>
      <w:tr>
        <w:tc>
          <w:tcPr>
            <w:tcW w:w="9066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КОНФИДЕНЦИАЛЬНОСТЬ ГАРАНТИРУЕТСЯ ПОЛУЧАТЕЛЕМ ИНФОРМАЦИИ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66"/>
      </w:tblGrid>
      <w:tr>
        <w:tc>
          <w:tcPr>
            <w:tcW w:w="9066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Нарушение порядка предоставления первичных статистических данных или несвоевременное предоставление этих данных, либо предоставление недостоверных первичных статистических данных влечет ответственность, установленную </w:t>
            </w:r>
            <w:hyperlink w:history="0" r:id="rId11" w:tooltip="&quot;Кодекс РСФСР об административных правонарушениях&quot; (утв. ВС РСФСР 20.06.1984) (ред. от 20.03.2001) ------------ Утратил силу или отменен {КонсультантПлюс}">
              <w:r>
                <w:rPr>
                  <w:sz w:val="24"/>
                  <w:color w:val="0000ff"/>
                </w:rPr>
                <w:t xml:space="preserve">Кодексом</w:t>
              </w:r>
            </w:hyperlink>
            <w:r>
              <w:rPr>
                <w:sz w:val="24"/>
              </w:rPr>
              <w:t xml:space="preserve"> Российской Федерации об административных правонарушениях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66"/>
      </w:tblGrid>
      <w:tr>
        <w:tc>
          <w:tcPr>
            <w:tcW w:w="9066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32" w:name="P32"/>
          <w:bookmarkEnd w:id="32"/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 НАЛИЧИИ ДРАГОЦЕННЫХ МЕТАЛЛОВ И ДРАГОЦЕННЫХ КАМНЕЙ В МУЗЕЙНЫХ ПРЕДМЕТАХ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за ____ год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230"/>
        <w:gridCol w:w="1969"/>
        <w:gridCol w:w="202"/>
        <w:gridCol w:w="2653"/>
      </w:tblGrid>
      <w:tr>
        <w:tblPrEx>
          <w:tblBorders>
            <w:right w:val="single" w:sz="4"/>
          </w:tblBorders>
        </w:tblPrEx>
        <w:tc>
          <w:tcPr>
            <w:tcW w:w="423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Предоставляют:</w:t>
            </w:r>
          </w:p>
        </w:tc>
        <w:tc>
          <w:tcPr>
            <w:tcW w:w="196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Сроки предоставления</w:t>
            </w:r>
          </w:p>
        </w:tc>
        <w:tc>
          <w:tcPr>
            <w:tcW w:w="202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265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 N 4-экспонаты</w:t>
            </w:r>
          </w:p>
        </w:tc>
      </w:tr>
      <w:tr>
        <w:tc>
          <w:tcPr>
            <w:tcW w:w="4230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юридические лица (кроме субъектов малого предпринимательства) - музеи, иные организации, зарегистрированные в реестре музеев Государственного каталога Музейного фонда Российской Федерации (полный перечень респондентов приведен в </w:t>
            </w:r>
            <w:hyperlink w:history="0" w:anchor="P311" w:tooltip="Указания по заполнению формы федерального">
              <w:r>
                <w:rPr>
                  <w:sz w:val="24"/>
                  <w:color w:val="0000ff"/>
                </w:rPr>
                <w:t xml:space="preserve">указаниях</w:t>
              </w:r>
            </w:hyperlink>
            <w:r>
              <w:rPr>
                <w:sz w:val="24"/>
              </w:rPr>
              <w:t xml:space="preserve"> по заполнению формы федерального статистического наблюдения):</w:t>
            </w:r>
          </w:p>
          <w:p>
            <w:pPr>
              <w:pStyle w:val="0"/>
              <w:ind w:left="284"/>
            </w:pPr>
            <w:r>
              <w:rPr>
                <w:sz w:val="24"/>
              </w:rPr>
              <w:t xml:space="preserve">- Министерству культуры Российской Федерации</w:t>
            </w:r>
          </w:p>
        </w:tc>
        <w:tc>
          <w:tcPr>
            <w:tcW w:w="1969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1 февраля после отчетного периода</w:t>
            </w:r>
          </w:p>
        </w:tc>
        <w:tc>
          <w:tcPr>
            <w:tcW w:w="202" w:type="dxa"/>
            <w:tcBorders>
              <w:top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53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Приказ Росстата: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Об утверждении формы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от 26.12.2024 N 689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 внесении изменений (при наличии)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от __________ N 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от __________ N ____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Borders>
              <w:top w:val="nil"/>
              <w:bottom w:val="nil"/>
              <w:right w:val="nil"/>
            </w:tcBorders>
            <w:vMerge w:val="continue"/>
          </w:tcPr>
          <w:p/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Borders>
              <w:top w:val="nil"/>
              <w:bottom w:val="nil"/>
              <w:right w:val="nil"/>
            </w:tcBorders>
            <w:vMerge w:val="continue"/>
          </w:tcPr>
          <w:p/>
        </w:tc>
        <w:tc>
          <w:tcPr>
            <w:tcW w:w="2653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</w:tr>
      <w:tr>
        <w:tblPrEx>
          <w:tblBorders>
            <w:right w:val="single" w:sz="4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Borders>
              <w:top w:val="nil"/>
              <w:bottom w:val="nil"/>
              <w:right w:val="nil"/>
            </w:tcBorders>
            <w:vMerge w:val="continue"/>
          </w:tcPr>
          <w:p/>
        </w:tc>
        <w:tc>
          <w:tcPr>
            <w:tcW w:w="265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Годовая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200"/>
        <w:gridCol w:w="3270"/>
        <w:gridCol w:w="2294"/>
        <w:gridCol w:w="2294"/>
      </w:tblGrid>
      <w:tr>
        <w:tc>
          <w:tcPr>
            <w:gridSpan w:val="4"/>
            <w:tcW w:w="9058" w:type="dxa"/>
          </w:tcPr>
          <w:bookmarkStart w:id="54" w:name="P54"/>
          <w:bookmarkEnd w:id="54"/>
          <w:p>
            <w:pPr>
              <w:pStyle w:val="0"/>
            </w:pPr>
            <w:r>
              <w:rPr>
                <w:sz w:val="24"/>
              </w:rPr>
              <w:t xml:space="preserve">Наименование отчитывающейся организации __________________________________</w:t>
            </w:r>
          </w:p>
        </w:tc>
      </w:tr>
      <w:tr>
        <w:tc>
          <w:tcPr>
            <w:gridSpan w:val="4"/>
            <w:tcW w:w="9058" w:type="dxa"/>
          </w:tcPr>
          <w:bookmarkStart w:id="55" w:name="P55"/>
          <w:bookmarkEnd w:id="55"/>
          <w:p>
            <w:pPr>
              <w:pStyle w:val="0"/>
            </w:pPr>
            <w:r>
              <w:rPr>
                <w:sz w:val="24"/>
              </w:rPr>
              <w:t xml:space="preserve">Почтовый адрес ___________________________________________________________</w:t>
            </w:r>
          </w:p>
        </w:tc>
      </w:tr>
      <w:tr>
        <w:tc>
          <w:tcPr>
            <w:tcW w:w="120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формы по </w:t>
            </w:r>
            <w:hyperlink w:history="0" r:id="rId12" w:tooltip="&quot;ОК 011-93. Общероссийский классификатор управленческой документации&quot; (утв. Постановлением Госстандарта России от 30.12.1993 N 299) (ред. от 21.03.2025) {КонсультантПлюс}">
              <w:r>
                <w:rPr>
                  <w:sz w:val="24"/>
                  <w:color w:val="0000ff"/>
                </w:rPr>
                <w:t xml:space="preserve">ОКУД</w:t>
              </w:r>
            </w:hyperlink>
          </w:p>
        </w:tc>
        <w:tc>
          <w:tcPr>
            <w:gridSpan w:val="3"/>
            <w:tcW w:w="7858" w:type="dxa"/>
          </w:tcPr>
          <w:bookmarkStart w:id="57" w:name="P57"/>
          <w:bookmarkEnd w:id="57"/>
          <w:p>
            <w:pPr>
              <w:pStyle w:val="0"/>
              <w:jc w:val="center"/>
            </w:pPr>
            <w:r>
              <w:rPr>
                <w:sz w:val="24"/>
              </w:rPr>
              <w:t xml:space="preserve">Код</w:t>
            </w:r>
          </w:p>
        </w:tc>
      </w:tr>
      <w:tr>
        <w:tc>
          <w:tcPr>
            <w:vMerge w:val="continue"/>
          </w:tcPr>
          <w:p/>
        </w:tc>
        <w:tc>
          <w:tcPr>
            <w:tcW w:w="327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отчитывающейся организации по ОКПО (для обособленного подразделения юридического лица - идентификационный номер)</w:t>
            </w:r>
          </w:p>
        </w:tc>
        <w:tc>
          <w:tcPr>
            <w:tcW w:w="2294" w:type="dxa"/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2294" w:type="dxa"/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</w:tr>
      <w:tr>
        <w:tc>
          <w:tcPr>
            <w:tcW w:w="12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327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22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22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</w:tr>
      <w:tr>
        <w:tc>
          <w:tcPr>
            <w:tcW w:w="12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0607082</w:t>
            </w:r>
          </w:p>
        </w:tc>
        <w:tc>
          <w:tcPr>
            <w:tcW w:w="3270" w:type="dxa"/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2294" w:type="dxa"/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2294" w:type="dxa"/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66"/>
      </w:tblGrid>
      <w:tr>
        <w:tc>
          <w:tcPr>
            <w:tcW w:w="9066" w:type="dxa"/>
            <w:tcBorders>
              <w:top w:val="nil"/>
              <w:left w:val="nil"/>
              <w:bottom w:val="nil"/>
              <w:right w:val="nil"/>
            </w:tcBorders>
          </w:tcPr>
          <w:bookmarkStart w:id="70" w:name="P70"/>
          <w:bookmarkEnd w:id="70"/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Раздел 1. Сведения об организации (на конец отчетного года)</w:t>
            </w:r>
          </w:p>
        </w:tc>
      </w:tr>
    </w:tbl>
    <w:p>
      <w:pPr>
        <w:pStyle w:val="0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000"/>
        <w:gridCol w:w="687"/>
        <w:gridCol w:w="2355"/>
      </w:tblGrid>
      <w:tr>
        <w:tc>
          <w:tcPr>
            <w:tcW w:w="600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Учетный номер отчитывающейся организации (обособленного подразделения) в реестре юридических лиц и индивидуальных предпринимателей в сфере контроля за оборотом драгоценных металлов, драгоценных камней и изделий из них на всех этапах этого оборота (ГИИС ДМДК)</w:t>
            </w:r>
          </w:p>
        </w:tc>
        <w:tc>
          <w:tcPr>
            <w:tcW w:w="68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bookmarkStart w:id="73" w:name="P73"/>
          <w:bookmarkEnd w:id="73"/>
          <w:p>
            <w:pPr>
              <w:pStyle w:val="0"/>
              <w:jc w:val="center"/>
            </w:pPr>
            <w:r>
              <w:rPr>
                <w:sz w:val="24"/>
              </w:rPr>
              <w:t xml:space="preserve">(01)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00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Уникальный идентификационный номер отчитывающейся организации в реестре музеев Государственного каталога Музейного фонда Российской Федерации</w:t>
            </w:r>
          </w:p>
        </w:tc>
        <w:tc>
          <w:tcPr>
            <w:tcW w:w="68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bookmarkStart w:id="76" w:name="P76"/>
          <w:bookmarkEnd w:id="76"/>
          <w:p>
            <w:pPr>
              <w:pStyle w:val="0"/>
              <w:jc w:val="center"/>
            </w:pPr>
            <w:r>
              <w:rPr>
                <w:sz w:val="24"/>
              </w:rPr>
              <w:t xml:space="preserve">(02)</w:t>
            </w:r>
          </w:p>
        </w:tc>
        <w:tc>
          <w:tcPr>
            <w:tcW w:w="2355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600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Наименование обособленного подразделения организации, за которым закреплены музейные предметы, содержащие драгоценные металлы и драгоценные камни</w:t>
            </w:r>
          </w:p>
        </w:tc>
        <w:tc>
          <w:tcPr>
            <w:tcW w:w="68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bookmarkStart w:id="79" w:name="P79"/>
          <w:bookmarkEnd w:id="79"/>
          <w:p>
            <w:pPr>
              <w:pStyle w:val="0"/>
              <w:jc w:val="center"/>
            </w:pPr>
            <w:r>
              <w:rPr>
                <w:sz w:val="24"/>
              </w:rPr>
              <w:t xml:space="preserve">(03)</w:t>
            </w:r>
          </w:p>
        </w:tc>
        <w:tc>
          <w:tcPr>
            <w:tcW w:w="2355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600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Уникальный идентификационный номер обособленного подразделения организации в реестре музеев Государственного каталога Музейного фонда Российской Федерации</w:t>
            </w:r>
          </w:p>
        </w:tc>
        <w:tc>
          <w:tcPr>
            <w:tcW w:w="68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bookmarkStart w:id="82" w:name="P82"/>
          <w:bookmarkEnd w:id="82"/>
          <w:p>
            <w:pPr>
              <w:pStyle w:val="0"/>
              <w:jc w:val="center"/>
            </w:pPr>
            <w:r>
              <w:rPr>
                <w:sz w:val="24"/>
              </w:rPr>
              <w:t xml:space="preserve">(04)</w:t>
            </w:r>
          </w:p>
        </w:tc>
        <w:tc>
          <w:tcPr>
            <w:tcW w:w="235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</w:tbl>
    <w:p>
      <w:pPr>
        <w:pStyle w:val="0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66"/>
      </w:tblGrid>
      <w:tr>
        <w:tc>
          <w:tcPr>
            <w:tcW w:w="9066" w:type="dxa"/>
            <w:tcBorders>
              <w:top w:val="nil"/>
              <w:left w:val="nil"/>
              <w:bottom w:val="nil"/>
              <w:right w:val="nil"/>
            </w:tcBorders>
          </w:tcPr>
          <w:bookmarkStart w:id="85" w:name="P85"/>
          <w:bookmarkEnd w:id="85"/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Раздел 2. Сведения о наличии драгоценных металлов и драгоценных камней в музейных предметах</w:t>
            </w:r>
          </w:p>
        </w:tc>
      </w:tr>
    </w:tbl>
    <w:p>
      <w:pPr>
        <w:pStyle w:val="0"/>
        <w:jc w:val="right"/>
      </w:pPr>
      <w:r>
        <w:rPr>
          <w:sz w:val="24"/>
        </w:rPr>
      </w:r>
    </w:p>
    <w:p>
      <w:pPr>
        <w:sectPr>
          <w:headerReference w:type="default" r:id="rId5"/>
          <w:headerReference w:type="first" r:id="rId5"/>
          <w:footerReference w:type="default" r:id="rId6"/>
          <w:footerReference w:type="first" r:id="rId6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552"/>
        <w:gridCol w:w="838"/>
        <w:gridCol w:w="960"/>
        <w:gridCol w:w="1575"/>
        <w:gridCol w:w="1157"/>
        <w:gridCol w:w="1395"/>
        <w:gridCol w:w="1034"/>
        <w:gridCol w:w="1619"/>
        <w:gridCol w:w="1270"/>
        <w:gridCol w:w="1204"/>
      </w:tblGrid>
      <w:tr>
        <w:tc>
          <w:tcPr>
            <w:tcW w:w="2552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Драгоценные металлы и драгоценные камни</w:t>
            </w:r>
          </w:p>
        </w:tc>
        <w:tc>
          <w:tcPr>
            <w:tcW w:w="838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строки</w:t>
            </w:r>
          </w:p>
        </w:tc>
        <w:tc>
          <w:tcPr>
            <w:gridSpan w:val="4"/>
            <w:tcW w:w="50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Остаток на начало отчетного года</w:t>
            </w:r>
          </w:p>
        </w:tc>
        <w:tc>
          <w:tcPr>
            <w:gridSpan w:val="4"/>
            <w:tcW w:w="51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Остаток на конец отчетного года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2"/>
            <w:tcW w:w="25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драгоценных камней</w:t>
            </w:r>
          </w:p>
        </w:tc>
        <w:tc>
          <w:tcPr>
            <w:gridSpan w:val="2"/>
            <w:tcW w:w="255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драгоценных металлов</w:t>
            </w:r>
          </w:p>
        </w:tc>
        <w:tc>
          <w:tcPr>
            <w:gridSpan w:val="2"/>
            <w:tcW w:w="265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драгоценных камней</w:t>
            </w:r>
          </w:p>
        </w:tc>
        <w:tc>
          <w:tcPr>
            <w:gridSpan w:val="2"/>
            <w:tcW w:w="247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драгоценных металлов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96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количество, штука</w:t>
            </w:r>
          </w:p>
        </w:tc>
        <w:tc>
          <w:tcPr>
            <w:tcW w:w="1575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масса, метрический карат с точностью до 0,01</w:t>
            </w:r>
          </w:p>
        </w:tc>
        <w:tc>
          <w:tcPr>
            <w:gridSpan w:val="2"/>
            <w:tcW w:w="255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масса, грамм с точностью до 0,01</w:t>
            </w:r>
          </w:p>
        </w:tc>
        <w:tc>
          <w:tcPr>
            <w:tcW w:w="103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количество, штука</w:t>
            </w:r>
          </w:p>
        </w:tc>
        <w:tc>
          <w:tcPr>
            <w:tcW w:w="1619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масса, метрический карат с точностью до 0,01</w:t>
            </w:r>
          </w:p>
        </w:tc>
        <w:tc>
          <w:tcPr>
            <w:gridSpan w:val="2"/>
            <w:tcW w:w="247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масса, грамм с точностью до 0,01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1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лигатуре</w:t>
            </w:r>
          </w:p>
        </w:tc>
        <w:tc>
          <w:tcPr>
            <w:tcW w:w="139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чистоте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27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лигатуре</w:t>
            </w:r>
          </w:p>
        </w:tc>
        <w:tc>
          <w:tcPr>
            <w:tcW w:w="12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чистоте</w:t>
            </w:r>
          </w:p>
        </w:tc>
      </w:tr>
      <w:tr>
        <w:tc>
          <w:tcPr>
            <w:tcW w:w="255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3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9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57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9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61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27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2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</w:tr>
      <w:tr>
        <w:tc>
          <w:tcPr>
            <w:tcW w:w="2552" w:type="dxa"/>
          </w:tcPr>
          <w:p>
            <w:pPr>
              <w:pStyle w:val="0"/>
            </w:pPr>
            <w:r>
              <w:rPr>
                <w:sz w:val="24"/>
              </w:rPr>
              <w:t xml:space="preserve">Золото</w:t>
            </w:r>
          </w:p>
        </w:tc>
        <w:tc>
          <w:tcPr>
            <w:tcW w:w="838" w:type="dxa"/>
          </w:tcPr>
          <w:bookmarkStart w:id="116" w:name="P116"/>
          <w:bookmarkEnd w:id="116"/>
          <w:p>
            <w:pPr>
              <w:pStyle w:val="0"/>
              <w:jc w:val="center"/>
            </w:pPr>
            <w:r>
              <w:rPr>
                <w:sz w:val="24"/>
              </w:rPr>
              <w:t xml:space="preserve">05</w:t>
            </w:r>
          </w:p>
        </w:tc>
        <w:tc>
          <w:tcPr>
            <w:tcW w:w="9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57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15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9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61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27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0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552" w:type="dxa"/>
          </w:tcPr>
          <w:p>
            <w:pPr>
              <w:pStyle w:val="0"/>
            </w:pPr>
            <w:r>
              <w:rPr>
                <w:sz w:val="24"/>
              </w:rPr>
              <w:t xml:space="preserve">Серебро</w:t>
            </w:r>
          </w:p>
        </w:tc>
        <w:tc>
          <w:tcPr>
            <w:tcW w:w="83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06</w:t>
            </w:r>
          </w:p>
        </w:tc>
        <w:tc>
          <w:tcPr>
            <w:tcW w:w="9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57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15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9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61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27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0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552" w:type="dxa"/>
          </w:tcPr>
          <w:p>
            <w:pPr>
              <w:pStyle w:val="0"/>
            </w:pPr>
            <w:r>
              <w:rPr>
                <w:sz w:val="24"/>
              </w:rPr>
              <w:t xml:space="preserve">Платина</w:t>
            </w:r>
          </w:p>
        </w:tc>
        <w:tc>
          <w:tcPr>
            <w:tcW w:w="83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07</w:t>
            </w:r>
          </w:p>
        </w:tc>
        <w:tc>
          <w:tcPr>
            <w:tcW w:w="9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57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15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9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61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27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0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552" w:type="dxa"/>
          </w:tcPr>
          <w:p>
            <w:pPr>
              <w:pStyle w:val="0"/>
            </w:pPr>
            <w:r>
              <w:rPr>
                <w:sz w:val="24"/>
              </w:rPr>
              <w:t xml:space="preserve">Палладий</w:t>
            </w:r>
          </w:p>
        </w:tc>
        <w:tc>
          <w:tcPr>
            <w:tcW w:w="83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08</w:t>
            </w:r>
          </w:p>
        </w:tc>
        <w:tc>
          <w:tcPr>
            <w:tcW w:w="9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57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15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9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61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27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0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552" w:type="dxa"/>
          </w:tcPr>
          <w:p>
            <w:pPr>
              <w:pStyle w:val="0"/>
            </w:pPr>
            <w:r>
              <w:rPr>
                <w:sz w:val="24"/>
              </w:rPr>
              <w:t xml:space="preserve">Родий</w:t>
            </w:r>
          </w:p>
        </w:tc>
        <w:tc>
          <w:tcPr>
            <w:tcW w:w="83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09</w:t>
            </w:r>
          </w:p>
        </w:tc>
        <w:tc>
          <w:tcPr>
            <w:tcW w:w="9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57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15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9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61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27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0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552" w:type="dxa"/>
          </w:tcPr>
          <w:p>
            <w:pPr>
              <w:pStyle w:val="0"/>
            </w:pPr>
            <w:r>
              <w:rPr>
                <w:sz w:val="24"/>
              </w:rPr>
              <w:t xml:space="preserve">Иридий</w:t>
            </w:r>
          </w:p>
        </w:tc>
        <w:tc>
          <w:tcPr>
            <w:tcW w:w="83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9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57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15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9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61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27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0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552" w:type="dxa"/>
          </w:tcPr>
          <w:p>
            <w:pPr>
              <w:pStyle w:val="0"/>
            </w:pPr>
            <w:r>
              <w:rPr>
                <w:sz w:val="24"/>
              </w:rPr>
              <w:t xml:space="preserve">Рутений</w:t>
            </w:r>
          </w:p>
        </w:tc>
        <w:tc>
          <w:tcPr>
            <w:tcW w:w="83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9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57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15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9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61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27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0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552" w:type="dxa"/>
          </w:tcPr>
          <w:p>
            <w:pPr>
              <w:pStyle w:val="0"/>
            </w:pPr>
            <w:r>
              <w:rPr>
                <w:sz w:val="24"/>
              </w:rPr>
              <w:t xml:space="preserve">Осмий</w:t>
            </w:r>
          </w:p>
        </w:tc>
        <w:tc>
          <w:tcPr>
            <w:tcW w:w="838" w:type="dxa"/>
          </w:tcPr>
          <w:bookmarkStart w:id="186" w:name="P186"/>
          <w:bookmarkEnd w:id="186"/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9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57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15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9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61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27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0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552" w:type="dxa"/>
          </w:tcPr>
          <w:p>
            <w:pPr>
              <w:pStyle w:val="0"/>
            </w:pPr>
            <w:r>
              <w:rPr>
                <w:sz w:val="24"/>
              </w:rPr>
              <w:t xml:space="preserve">Алмазы</w:t>
            </w:r>
          </w:p>
        </w:tc>
        <w:tc>
          <w:tcPr>
            <w:tcW w:w="838" w:type="dxa"/>
          </w:tcPr>
          <w:bookmarkStart w:id="196" w:name="P196"/>
          <w:bookmarkEnd w:id="196"/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96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7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39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0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1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7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2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</w:tr>
      <w:tr>
        <w:tc>
          <w:tcPr>
            <w:tcW w:w="2552" w:type="dxa"/>
          </w:tcPr>
          <w:p>
            <w:pPr>
              <w:pStyle w:val="0"/>
            </w:pPr>
            <w:r>
              <w:rPr>
                <w:sz w:val="24"/>
              </w:rPr>
              <w:t xml:space="preserve">Бриллианты</w:t>
            </w:r>
          </w:p>
        </w:tc>
        <w:tc>
          <w:tcPr>
            <w:tcW w:w="83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96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7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39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0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1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7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2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</w:tr>
      <w:tr>
        <w:tc>
          <w:tcPr>
            <w:tcW w:w="2552" w:type="dxa"/>
          </w:tcPr>
          <w:p>
            <w:pPr>
              <w:pStyle w:val="0"/>
            </w:pPr>
            <w:r>
              <w:rPr>
                <w:sz w:val="24"/>
              </w:rPr>
              <w:t xml:space="preserve">Рубины</w:t>
            </w:r>
          </w:p>
        </w:tc>
        <w:tc>
          <w:tcPr>
            <w:tcW w:w="83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96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7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39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0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1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7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2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</w:tr>
      <w:tr>
        <w:tc>
          <w:tcPr>
            <w:tcW w:w="2552" w:type="dxa"/>
          </w:tcPr>
          <w:p>
            <w:pPr>
              <w:pStyle w:val="0"/>
            </w:pPr>
            <w:r>
              <w:rPr>
                <w:sz w:val="24"/>
              </w:rPr>
              <w:t xml:space="preserve">Сапфиры</w:t>
            </w:r>
          </w:p>
        </w:tc>
        <w:tc>
          <w:tcPr>
            <w:tcW w:w="83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96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7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39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0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1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7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2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</w:tr>
      <w:tr>
        <w:tc>
          <w:tcPr>
            <w:tcW w:w="2552" w:type="dxa"/>
          </w:tcPr>
          <w:p>
            <w:pPr>
              <w:pStyle w:val="0"/>
            </w:pPr>
            <w:r>
              <w:rPr>
                <w:sz w:val="24"/>
              </w:rPr>
              <w:t xml:space="preserve">Изумруды</w:t>
            </w:r>
          </w:p>
        </w:tc>
        <w:tc>
          <w:tcPr>
            <w:tcW w:w="83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96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7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39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0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1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7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2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</w:tr>
      <w:tr>
        <w:tc>
          <w:tcPr>
            <w:tcW w:w="2552" w:type="dxa"/>
          </w:tcPr>
          <w:p>
            <w:pPr>
              <w:pStyle w:val="0"/>
            </w:pPr>
            <w:r>
              <w:rPr>
                <w:sz w:val="24"/>
              </w:rPr>
              <w:t xml:space="preserve">Александриты</w:t>
            </w:r>
          </w:p>
        </w:tc>
        <w:tc>
          <w:tcPr>
            <w:tcW w:w="83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96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7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39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0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1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7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2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</w:tr>
      <w:tr>
        <w:tc>
          <w:tcPr>
            <w:tcW w:w="2552" w:type="dxa"/>
          </w:tcPr>
          <w:p>
            <w:pPr>
              <w:pStyle w:val="0"/>
            </w:pPr>
            <w:r>
              <w:rPr>
                <w:sz w:val="24"/>
              </w:rPr>
              <w:t xml:space="preserve">Жемчуг природный</w:t>
            </w:r>
          </w:p>
        </w:tc>
        <w:tc>
          <w:tcPr>
            <w:tcW w:w="83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96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7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39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0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1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7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2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</w:tr>
      <w:tr>
        <w:tc>
          <w:tcPr>
            <w:tcW w:w="2552" w:type="dxa"/>
          </w:tcPr>
          <w:p>
            <w:pPr>
              <w:pStyle w:val="0"/>
            </w:pPr>
            <w:r>
              <w:rPr>
                <w:sz w:val="24"/>
              </w:rPr>
              <w:t xml:space="preserve">Уникальные янтарные образования</w:t>
            </w:r>
          </w:p>
        </w:tc>
        <w:tc>
          <w:tcPr>
            <w:tcW w:w="838" w:type="dxa"/>
          </w:tcPr>
          <w:bookmarkStart w:id="266" w:name="P266"/>
          <w:bookmarkEnd w:id="266"/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960" w:type="dxa"/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1575" w:type="dxa"/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11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39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034" w:type="dxa"/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1619" w:type="dxa"/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127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2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</w:tr>
    </w:tbl>
    <w:p>
      <w:pPr>
        <w:sectPr>
          <w:headerReference w:type="default" r:id="rId13"/>
          <w:headerReference w:type="first" r:id="rId13"/>
          <w:footerReference w:type="default" r:id="rId14"/>
          <w:footerReference w:type="first" r:id="rId14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66"/>
      </w:tblGrid>
      <w:tr>
        <w:tc>
          <w:tcPr>
            <w:tcW w:w="9066" w:type="dxa"/>
            <w:tcBorders>
              <w:top w:val="nil"/>
              <w:left w:val="nil"/>
              <w:bottom w:val="nil"/>
              <w:right w:val="nil"/>
            </w:tcBorders>
          </w:tcPr>
          <w:bookmarkStart w:id="276" w:name="P276"/>
          <w:bookmarkEnd w:id="276"/>
          <w:p>
            <w:pPr>
              <w:pStyle w:val="0"/>
              <w:jc w:val="both"/>
            </w:pPr>
            <w:r>
              <w:rPr>
                <w:sz w:val="24"/>
              </w:rPr>
              <w:t xml:space="preserve">Количество музейных предметов, содержащих драгоценные металлы и драгоценные камни на конец отчетного года (21) _____ штука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sectPr>
          <w:headerReference w:type="default" r:id="rId5"/>
          <w:headerReference w:type="first" r:id="rId5"/>
          <w:footerReference w:type="default" r:id="rId6"/>
          <w:footerReference w:type="first" r:id="rId6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05"/>
        <w:gridCol w:w="3969"/>
        <w:gridCol w:w="340"/>
        <w:gridCol w:w="1586"/>
        <w:gridCol w:w="340"/>
        <w:gridCol w:w="2016"/>
        <w:gridCol w:w="340"/>
        <w:gridCol w:w="2254"/>
      </w:tblGrid>
      <w:t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3969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Должностное лицо, ответственное за предоставление первичных статистических данных (лицо, уполномоченное предоставлять первичные статистические данные от имени юридического лица)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1586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2016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225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1586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2016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(Ф.И.О.)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225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</w:tr>
      <w:t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1586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E-mail: _________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"__" ______ 20__ год</w:t>
            </w:r>
          </w:p>
        </w:tc>
      </w:tr>
      <w:t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1586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(дата составления документа)</w:t>
            </w:r>
          </w:p>
        </w:tc>
      </w:tr>
    </w:tbl>
    <w:p>
      <w:pPr>
        <w:sectPr>
          <w:headerReference w:type="default" r:id="rId13"/>
          <w:headerReference w:type="first" r:id="rId13"/>
          <w:footerReference w:type="default" r:id="rId14"/>
          <w:footerReference w:type="first" r:id="rId14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jc w:val="center"/>
      </w:pPr>
      <w:r>
        <w:rPr>
          <w:sz w:val="24"/>
        </w:rPr>
      </w:r>
    </w:p>
    <w:bookmarkStart w:id="311" w:name="P311"/>
    <w:bookmarkEnd w:id="311"/>
    <w:p>
      <w:pPr>
        <w:pStyle w:val="0"/>
        <w:outlineLvl w:val="1"/>
        <w:jc w:val="center"/>
      </w:pPr>
      <w:r>
        <w:rPr>
          <w:sz w:val="24"/>
        </w:rPr>
        <w:t xml:space="preserve">Указания по заполнению формы федерального</w:t>
      </w:r>
    </w:p>
    <w:p>
      <w:pPr>
        <w:pStyle w:val="0"/>
        <w:jc w:val="center"/>
      </w:pPr>
      <w:r>
        <w:rPr>
          <w:sz w:val="24"/>
        </w:rPr>
        <w:t xml:space="preserve">статистического наблюдения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Первичные статистические данные (далее - данные) по </w:t>
      </w:r>
      <w:hyperlink w:history="0" w:anchor="P32" w:tooltip="СВЕДЕНИЯ">
        <w:r>
          <w:rPr>
            <w:sz w:val="24"/>
            <w:color w:val="0000ff"/>
          </w:rPr>
          <w:t xml:space="preserve">форме</w:t>
        </w:r>
      </w:hyperlink>
      <w:r>
        <w:rPr>
          <w:sz w:val="24"/>
        </w:rPr>
        <w:t xml:space="preserve"> федерального статистического наблюдения N 4-экспонаты "Сведения о наличии драгоценных металлов и драгоценных камней в музейных предметах" (далее - форма) предоставляют государственные и муниципальные музеи, иные государственные и муниципальные организации, а также иные организации (независимо от их ведомственной принадлежности и формы собственности), в собственности, во владении или в пользовании которых находятся музейные предметы и музейные коллекции, включенные в состав Музейного фонда Российской Федерации и содержащие в своем составе драгоценные металлы и/или драгоценные камни (далее - юридические лица).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При наличии у юридического лица обособленных подразделений &lt;1&gt;, за которыми закреплены музейные предметы, содержащие драгоценные металлы и драгоценные камни, и если указанные обособленные подразделения зарегистрированы в государственной интегрированной информационной системе в сфере контроля за оборотом драгоценных металлов, драгоценных камней и изделий из них на всех этапах этого оборота (далее - ГИИС ДМДК), </w:t>
      </w:r>
      <w:hyperlink w:history="0" w:anchor="P32" w:tooltip="СВЕДЕНИЯ">
        <w:r>
          <w:rPr>
            <w:sz w:val="24"/>
            <w:color w:val="0000ff"/>
          </w:rPr>
          <w:t xml:space="preserve">форма</w:t>
        </w:r>
      </w:hyperlink>
      <w:r>
        <w:rPr>
          <w:sz w:val="24"/>
        </w:rPr>
        <w:t xml:space="preserve"> заполняется по каждому такому обособленному подразделению.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&lt;1&gt; Обособленное подразделение организации - любое территориально обособленное от нее подразделение, по месту нахождения которого оборудованы стационарные рабочие места. Признание обособленного подразделения организации таковым производится независимо от того, отражено или не отражено его создание в учредительных или иных организационно-распорядительных документах организации, и от полномочий, которыми наделяется указанное подразделение. При этом рабочее место считается стационарным, если оно создается на срок более одного месяца (</w:t>
      </w:r>
      <w:hyperlink w:history="0" r:id="rId15" w:tooltip="&quot;Налоговый кодекс Российской Федерации (часть первая)&quot; от 31.07.1998 N 146-ФЗ (ред. от 29.11.2024, с изм. от 21.01.2025) (с изм. и доп., вступ. в силу с 05.02.2025) {КонсультантПлюс}">
        <w:r>
          <w:rPr>
            <w:sz w:val="24"/>
            <w:color w:val="0000ff"/>
          </w:rPr>
          <w:t xml:space="preserve">пункт 2 статьи 11</w:t>
        </w:r>
      </w:hyperlink>
      <w:r>
        <w:rPr>
          <w:sz w:val="24"/>
        </w:rPr>
        <w:t xml:space="preserve"> Налогового кодекса Российской Федерации).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 Руководитель юридического лица назначает должностных лиц, уполномоченных предоставлять данные от имени юридического лица.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 В </w:t>
      </w:r>
      <w:hyperlink w:history="0" w:anchor="P54" w:tooltip="Наименование отчитывающейся организации __________________________________">
        <w:r>
          <w:rPr>
            <w:sz w:val="24"/>
            <w:color w:val="0000ff"/>
          </w:rPr>
          <w:t xml:space="preserve">адресной части</w:t>
        </w:r>
      </w:hyperlink>
      <w:r>
        <w:rPr>
          <w:sz w:val="24"/>
        </w:rPr>
        <w:t xml:space="preserve"> формы указывается полное наименование отчитывающейся организации в соответствии с учредительными документами, зарегистрированными в установленном порядке, а затем в скобках - краткое наименование. На бланке </w:t>
      </w:r>
      <w:hyperlink w:history="0" w:anchor="P32" w:tooltip="СВЕДЕНИЯ">
        <w:r>
          <w:rPr>
            <w:sz w:val="24"/>
            <w:color w:val="0000ff"/>
          </w:rPr>
          <w:t xml:space="preserve">формы</w:t>
        </w:r>
      </w:hyperlink>
      <w:r>
        <w:rPr>
          <w:sz w:val="24"/>
        </w:rPr>
        <w:t xml:space="preserve">, содержащей данные по обособленному подразделению юридического лица, указывается наименование обособленного подразделения и юридического лица, к которому оно относится.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 По </w:t>
      </w:r>
      <w:hyperlink w:history="0" w:anchor="P55" w:tooltip="Почтовый адрес ___________________________________________________________">
        <w:r>
          <w:rPr>
            <w:sz w:val="24"/>
            <w:color w:val="0000ff"/>
          </w:rPr>
          <w:t xml:space="preserve">строке</w:t>
        </w:r>
      </w:hyperlink>
      <w:r>
        <w:rPr>
          <w:sz w:val="24"/>
        </w:rPr>
        <w:t xml:space="preserve"> "Почтовый адрес" указывается наименование субъекта Российской Федерации, юридический адрес с почтовым индексом, указанный в ЕГРЮЛ; либо адрес, по которому юридическое лицо фактически осуществляет свою деятельность, если он не совпадает с юридическим адресом. Для обособленных подразделений, не имеющих юридического адреса, указывается почтовый адрес с почтовым индексом.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 В </w:t>
      </w:r>
      <w:hyperlink w:history="0" w:anchor="P57" w:tooltip="Код">
        <w:r>
          <w:rPr>
            <w:sz w:val="24"/>
            <w:color w:val="0000ff"/>
          </w:rPr>
          <w:t xml:space="preserve">кодовой части</w:t>
        </w:r>
      </w:hyperlink>
      <w:r>
        <w:rPr>
          <w:sz w:val="24"/>
        </w:rPr>
        <w:t xml:space="preserve"> титульного листа формы на основании Уведомления о присвоении кода ОКПО (идентификационного номера), размещенного на сайте системы сбора отчетности Росстата в информационно-телекоммуникационной сети "Интернет" по адресу: </w:t>
      </w:r>
      <w:hyperlink w:history="0" r:id="rId16">
        <w:r>
          <w:rPr>
            <w:sz w:val="24"/>
            <w:color w:val="0000ff"/>
          </w:rPr>
          <w:t xml:space="preserve">https://websbor.rosstat.gov.ru/online/info</w:t>
        </w:r>
      </w:hyperlink>
      <w:r>
        <w:rPr>
          <w:sz w:val="24"/>
        </w:rPr>
        <w:t xml:space="preserve">, отчитывающаяся организация проставляет код по Общероссийскому классификатору предприятий и организаций (ОКПО).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 Данные по </w:t>
      </w:r>
      <w:hyperlink w:history="0" w:anchor="P32" w:tooltip="СВЕДЕНИЯ">
        <w:r>
          <w:rPr>
            <w:sz w:val="24"/>
            <w:color w:val="0000ff"/>
          </w:rPr>
          <w:t xml:space="preserve">форме</w:t>
        </w:r>
      </w:hyperlink>
      <w:r>
        <w:rPr>
          <w:sz w:val="24"/>
        </w:rPr>
        <w:t xml:space="preserve"> предоставляются отчитывающимися юридическими лицами до 1 февраля после отчетного периода в электронном виде в автоматизированной информационной системе "Статистика" Министерства культуры Российской Федерации и подписываются электронной подписью руководителя юридического лица или должностного лица, ответственного за предоставление данных.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2"/>
        <w:jc w:val="center"/>
      </w:pPr>
      <w:hyperlink w:history="0" w:anchor="P70" w:tooltip="Раздел 1. Сведения об организации (на конец отчетного года)">
        <w:r>
          <w:rPr>
            <w:sz w:val="24"/>
            <w:color w:val="0000ff"/>
          </w:rPr>
          <w:t xml:space="preserve">Раздел 1</w:t>
        </w:r>
      </w:hyperlink>
      <w:r>
        <w:rPr>
          <w:sz w:val="24"/>
        </w:rPr>
        <w:t xml:space="preserve">. Сведения об организации (на конец отчетного года)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8. По </w:t>
      </w:r>
      <w:hyperlink w:history="0" w:anchor="P73" w:tooltip="(01)">
        <w:r>
          <w:rPr>
            <w:sz w:val="24"/>
            <w:color w:val="0000ff"/>
          </w:rPr>
          <w:t xml:space="preserve">строке 01</w:t>
        </w:r>
      </w:hyperlink>
      <w:r>
        <w:rPr>
          <w:sz w:val="24"/>
        </w:rPr>
        <w:t xml:space="preserve"> указывается учетный номер отчитывающейся организации (обособленного подразделения) в ГИИС ДМДК.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 По </w:t>
      </w:r>
      <w:hyperlink w:history="0" w:anchor="P76" w:tooltip="(02)">
        <w:r>
          <w:rPr>
            <w:sz w:val="24"/>
            <w:color w:val="0000ff"/>
          </w:rPr>
          <w:t xml:space="preserve">строке 02</w:t>
        </w:r>
      </w:hyperlink>
      <w:r>
        <w:rPr>
          <w:sz w:val="24"/>
        </w:rPr>
        <w:t xml:space="preserve"> указывается Уникальный идентификационный номер отчитывающейся организации в реестре музеев Государственного каталога Музейного фонда Российской Федерации.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10. </w:t>
      </w:r>
      <w:hyperlink w:history="0" w:anchor="P79" w:tooltip="(03)">
        <w:r>
          <w:rPr>
            <w:sz w:val="24"/>
            <w:color w:val="0000ff"/>
          </w:rPr>
          <w:t xml:space="preserve">Строки 03</w:t>
        </w:r>
      </w:hyperlink>
      <w:r>
        <w:rPr>
          <w:sz w:val="24"/>
        </w:rPr>
        <w:t xml:space="preserve"> и </w:t>
      </w:r>
      <w:hyperlink w:history="0" w:anchor="P82" w:tooltip="(04)">
        <w:r>
          <w:rPr>
            <w:sz w:val="24"/>
            <w:color w:val="0000ff"/>
          </w:rPr>
          <w:t xml:space="preserve">04</w:t>
        </w:r>
      </w:hyperlink>
      <w:r>
        <w:rPr>
          <w:sz w:val="24"/>
        </w:rPr>
        <w:t xml:space="preserve"> заполняются в случае предоставления формы юридическим лицом за обособленное подразделение, за которым закреплены музейные предметы, содержащие драгоценные металлы и драгоценные камни, и имеющее учетный номер в ГИИС ДМДК.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11. По </w:t>
      </w:r>
      <w:hyperlink w:history="0" w:anchor="P79" w:tooltip="(03)">
        <w:r>
          <w:rPr>
            <w:sz w:val="24"/>
            <w:color w:val="0000ff"/>
          </w:rPr>
          <w:t xml:space="preserve">строке 03</w:t>
        </w:r>
      </w:hyperlink>
      <w:r>
        <w:rPr>
          <w:sz w:val="24"/>
        </w:rPr>
        <w:t xml:space="preserve"> указывается наименование обособленного подразделения организации, за которым закреплены музейные предметы, содержащие драгоценные металлы и драгоценные камни.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12. По </w:t>
      </w:r>
      <w:hyperlink w:history="0" w:anchor="P82" w:tooltip="(04)">
        <w:r>
          <w:rPr>
            <w:sz w:val="24"/>
            <w:color w:val="0000ff"/>
          </w:rPr>
          <w:t xml:space="preserve">строке 04</w:t>
        </w:r>
      </w:hyperlink>
      <w:r>
        <w:rPr>
          <w:sz w:val="24"/>
        </w:rPr>
        <w:t xml:space="preserve"> указывается уникальный идентификационный номер обособленного подразделения организации в реестре музеев Государственного каталога Музейного фонда Российской Федерации.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2"/>
        <w:jc w:val="center"/>
      </w:pPr>
      <w:hyperlink w:history="0" w:anchor="P85" w:tooltip="Раздел 2. Сведения о наличии драгоценных металлов и драгоценных камней в музейных предметах">
        <w:r>
          <w:rPr>
            <w:sz w:val="24"/>
            <w:color w:val="0000ff"/>
          </w:rPr>
          <w:t xml:space="preserve">Раздел 2</w:t>
        </w:r>
      </w:hyperlink>
      <w:r>
        <w:rPr>
          <w:sz w:val="24"/>
        </w:rPr>
        <w:t xml:space="preserve">. Сведения о наличии драгоценных металлов</w:t>
      </w:r>
    </w:p>
    <w:p>
      <w:pPr>
        <w:pStyle w:val="0"/>
        <w:jc w:val="center"/>
      </w:pPr>
      <w:r>
        <w:rPr>
          <w:sz w:val="24"/>
        </w:rPr>
        <w:t xml:space="preserve">и драгоценных камней в музейных предметах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13. Источником формирования данных по </w:t>
      </w:r>
      <w:hyperlink w:history="0" w:anchor="P32" w:tooltip="СВЕДЕНИЯ">
        <w:r>
          <w:rPr>
            <w:sz w:val="24"/>
            <w:color w:val="0000ff"/>
          </w:rPr>
          <w:t xml:space="preserve">форме</w:t>
        </w:r>
      </w:hyperlink>
      <w:r>
        <w:rPr>
          <w:sz w:val="24"/>
        </w:rPr>
        <w:t xml:space="preserve"> являются первичные учетные документы, разработанные в соответствии с </w:t>
      </w:r>
      <w:hyperlink w:history="0" r:id="rId17" w:tooltip="Приказ Минкультуры России от 04.08.2022 N 1322 &quot;Об утверждении Правил организации учета, хранения и использования музейных предметов и музейных коллекций, включенных в состав Музейного фонда Российской Федерации и содержащих в своем составе драгоценные металлы и драгоценные камни&quot; (Зарегистрировано в Минюсте России 15.08.2022 N 69637) {КонсультантПлюс}">
        <w:r>
          <w:rPr>
            <w:sz w:val="24"/>
            <w:color w:val="0000ff"/>
          </w:rPr>
          <w:t xml:space="preserve">Правилами</w:t>
        </w:r>
      </w:hyperlink>
      <w:r>
        <w:rPr>
          <w:sz w:val="24"/>
        </w:rPr>
        <w:t xml:space="preserve"> организации учета, хранения и использования музейных предметов и музейных коллекций, включенных в состав Музейного фонда Российской Федерации и содержащих в своем составе драгоценные металлы и драгоценные камни, утвержденными приказом Минкультуры России от 4 августа 2022 г. N 1322 (зарегистрирован Минюстом России 15 августа 2022 г., регистрационный номер 69637).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14. Масса драгоценных металлов указывается с точностью до одной сотой грамма. Масса драгоценных камней указывается с точностью до одной сотой карата. Один карат равен 0,2 грамма.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15. По </w:t>
      </w:r>
      <w:hyperlink w:history="0" w:anchor="P116" w:tooltip="05">
        <w:r>
          <w:rPr>
            <w:sz w:val="24"/>
            <w:color w:val="0000ff"/>
          </w:rPr>
          <w:t xml:space="preserve">строкам 05</w:t>
        </w:r>
      </w:hyperlink>
      <w:r>
        <w:rPr>
          <w:sz w:val="24"/>
        </w:rPr>
        <w:t xml:space="preserve"> - </w:t>
      </w:r>
      <w:hyperlink w:history="0" w:anchor="P186" w:tooltip="12">
        <w:r>
          <w:rPr>
            <w:sz w:val="24"/>
            <w:color w:val="0000ff"/>
          </w:rPr>
          <w:t xml:space="preserve">12</w:t>
        </w:r>
      </w:hyperlink>
      <w:r>
        <w:rPr>
          <w:sz w:val="24"/>
        </w:rPr>
        <w:t xml:space="preserve"> в графе 5 указываются сведения о массе драгоценного металла в лигатуре на начало отчетного года, соответствующие сведениям на конец года, предшествующего отчетному.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 </w:t>
      </w:r>
      <w:hyperlink w:history="0" w:anchor="P116" w:tooltip="05">
        <w:r>
          <w:rPr>
            <w:sz w:val="24"/>
            <w:color w:val="0000ff"/>
          </w:rPr>
          <w:t xml:space="preserve">строкам 05</w:t>
        </w:r>
      </w:hyperlink>
      <w:r>
        <w:rPr>
          <w:sz w:val="24"/>
        </w:rPr>
        <w:t xml:space="preserve"> - </w:t>
      </w:r>
      <w:hyperlink w:history="0" w:anchor="P186" w:tooltip="12">
        <w:r>
          <w:rPr>
            <w:sz w:val="24"/>
            <w:color w:val="0000ff"/>
          </w:rPr>
          <w:t xml:space="preserve">12</w:t>
        </w:r>
      </w:hyperlink>
      <w:r>
        <w:rPr>
          <w:sz w:val="24"/>
        </w:rPr>
        <w:t xml:space="preserve"> в графе 6 указываются сведения о массе драгоценного металла в чистоте на начало отчетного года, соответствующие сведениям на конец года, предшествующего отчетному.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 </w:t>
      </w:r>
      <w:hyperlink w:history="0" w:anchor="P116" w:tooltip="05">
        <w:r>
          <w:rPr>
            <w:sz w:val="24"/>
            <w:color w:val="0000ff"/>
          </w:rPr>
          <w:t xml:space="preserve">строкам 05</w:t>
        </w:r>
      </w:hyperlink>
      <w:r>
        <w:rPr>
          <w:sz w:val="24"/>
        </w:rPr>
        <w:t xml:space="preserve"> - </w:t>
      </w:r>
      <w:hyperlink w:history="0" w:anchor="P186" w:tooltip="12">
        <w:r>
          <w:rPr>
            <w:sz w:val="24"/>
            <w:color w:val="0000ff"/>
          </w:rPr>
          <w:t xml:space="preserve">12</w:t>
        </w:r>
      </w:hyperlink>
      <w:r>
        <w:rPr>
          <w:sz w:val="24"/>
        </w:rPr>
        <w:t xml:space="preserve"> в графе 9 указываются сведения о массе драгоценного металла в лигатуре на конец отчетного года. По </w:t>
      </w:r>
      <w:hyperlink w:history="0" w:anchor="P116" w:tooltip="05">
        <w:r>
          <w:rPr>
            <w:sz w:val="24"/>
            <w:color w:val="0000ff"/>
          </w:rPr>
          <w:t xml:space="preserve">строкам 05</w:t>
        </w:r>
      </w:hyperlink>
      <w:r>
        <w:rPr>
          <w:sz w:val="24"/>
        </w:rPr>
        <w:t xml:space="preserve"> - </w:t>
      </w:r>
      <w:hyperlink w:history="0" w:anchor="P186" w:tooltip="12">
        <w:r>
          <w:rPr>
            <w:sz w:val="24"/>
            <w:color w:val="0000ff"/>
          </w:rPr>
          <w:t xml:space="preserve">12</w:t>
        </w:r>
      </w:hyperlink>
      <w:r>
        <w:rPr>
          <w:sz w:val="24"/>
        </w:rPr>
        <w:t xml:space="preserve"> в графе 10 указываются сведения о массе драгоценного металла в чистоте на конец отчетного года.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 </w:t>
      </w:r>
      <w:hyperlink w:history="0" w:anchor="P196" w:tooltip="13">
        <w:r>
          <w:rPr>
            <w:sz w:val="24"/>
            <w:color w:val="0000ff"/>
          </w:rPr>
          <w:t xml:space="preserve">строкам 13</w:t>
        </w:r>
      </w:hyperlink>
      <w:r>
        <w:rPr>
          <w:sz w:val="24"/>
        </w:rPr>
        <w:t xml:space="preserve"> - </w:t>
      </w:r>
      <w:hyperlink w:history="0" w:anchor="P266" w:tooltip="20">
        <w:r>
          <w:rPr>
            <w:sz w:val="24"/>
            <w:color w:val="0000ff"/>
          </w:rPr>
          <w:t xml:space="preserve">20</w:t>
        </w:r>
      </w:hyperlink>
      <w:r>
        <w:rPr>
          <w:sz w:val="24"/>
        </w:rPr>
        <w:t xml:space="preserve"> в графе 3 указывается количество драгоценных камней на начало отчетного года, соответствующее сведениям на конец года, предшествующего отчетному.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 </w:t>
      </w:r>
      <w:hyperlink w:history="0" w:anchor="P196" w:tooltip="13">
        <w:r>
          <w:rPr>
            <w:sz w:val="24"/>
            <w:color w:val="0000ff"/>
          </w:rPr>
          <w:t xml:space="preserve">строкам 13</w:t>
        </w:r>
      </w:hyperlink>
      <w:r>
        <w:rPr>
          <w:sz w:val="24"/>
        </w:rPr>
        <w:t xml:space="preserve"> - </w:t>
      </w:r>
      <w:hyperlink w:history="0" w:anchor="P266" w:tooltip="20">
        <w:r>
          <w:rPr>
            <w:sz w:val="24"/>
            <w:color w:val="0000ff"/>
          </w:rPr>
          <w:t xml:space="preserve">20</w:t>
        </w:r>
      </w:hyperlink>
      <w:r>
        <w:rPr>
          <w:sz w:val="24"/>
        </w:rPr>
        <w:t xml:space="preserve"> в графе 4 указываются сведения о массе драгоценных камней на начало отчетного года, соответствующее сведениям на конец года, предшествующего отчетному.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 </w:t>
      </w:r>
      <w:hyperlink w:history="0" w:anchor="P196" w:tooltip="13">
        <w:r>
          <w:rPr>
            <w:sz w:val="24"/>
            <w:color w:val="0000ff"/>
          </w:rPr>
          <w:t xml:space="preserve">строкам 13</w:t>
        </w:r>
      </w:hyperlink>
      <w:r>
        <w:rPr>
          <w:sz w:val="24"/>
        </w:rPr>
        <w:t xml:space="preserve"> - </w:t>
      </w:r>
      <w:hyperlink w:history="0" w:anchor="P266" w:tooltip="20">
        <w:r>
          <w:rPr>
            <w:sz w:val="24"/>
            <w:color w:val="0000ff"/>
          </w:rPr>
          <w:t xml:space="preserve">20</w:t>
        </w:r>
      </w:hyperlink>
      <w:r>
        <w:rPr>
          <w:sz w:val="24"/>
        </w:rPr>
        <w:t xml:space="preserve"> в графе 7 указывается количество драгоценных камней на конец отчетного года.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 </w:t>
      </w:r>
      <w:hyperlink w:history="0" w:anchor="P196" w:tooltip="13">
        <w:r>
          <w:rPr>
            <w:sz w:val="24"/>
            <w:color w:val="0000ff"/>
          </w:rPr>
          <w:t xml:space="preserve">строкам 13</w:t>
        </w:r>
      </w:hyperlink>
      <w:r>
        <w:rPr>
          <w:sz w:val="24"/>
        </w:rPr>
        <w:t xml:space="preserve"> - </w:t>
      </w:r>
      <w:hyperlink w:history="0" w:anchor="P266" w:tooltip="20">
        <w:r>
          <w:rPr>
            <w:sz w:val="24"/>
            <w:color w:val="0000ff"/>
          </w:rPr>
          <w:t xml:space="preserve">20</w:t>
        </w:r>
      </w:hyperlink>
      <w:r>
        <w:rPr>
          <w:sz w:val="24"/>
        </w:rPr>
        <w:t xml:space="preserve"> в графе 8 указываются сведения о массе драгоценных камней на конец отчетного года.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16. По </w:t>
      </w:r>
      <w:hyperlink w:history="0" w:anchor="P276" w:tooltip="Количество музейных предметов, содержащих драгоценные металлы и драгоценные камни на конец отчетного года (21) _____ штука">
        <w:r>
          <w:rPr>
            <w:sz w:val="24"/>
            <w:color w:val="0000ff"/>
          </w:rPr>
          <w:t xml:space="preserve">строке 21</w:t>
        </w:r>
      </w:hyperlink>
      <w:r>
        <w:rPr>
          <w:sz w:val="24"/>
        </w:rPr>
        <w:t xml:space="preserve"> "Количество музейных предметов, содержащих драгоценные металлы и драгоценные камни" указывается количество музейных предметов основного фонда, зарегистрированных в книгах специального учета музейных предметов, содержащих драгоценные металлы и драгоценные камни на конец отчетного года.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17. При предоставлении данных по </w:t>
      </w:r>
      <w:hyperlink w:history="0" w:anchor="P32" w:tooltip="СВЕДЕНИЯ">
        <w:r>
          <w:rPr>
            <w:sz w:val="24"/>
            <w:color w:val="0000ff"/>
          </w:rPr>
          <w:t xml:space="preserve">форме</w:t>
        </w:r>
      </w:hyperlink>
      <w:r>
        <w:rPr>
          <w:sz w:val="24"/>
        </w:rPr>
        <w:t xml:space="preserve"> должна быть обеспечена их полнота и достоверность.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Росстата от 26.12.2024 N 689</w:t>
            <w:br/>
            <w:t>"Об утверждении формы федерального статистического наблюдения N 4-экспонаты "Сведени...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20.06.2025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Росстата от 26.12.2024 N 689</w:t>
            <w:br/>
            <w:t>"Об утверждении формы федерального статистического наблюдения N 4-экспонаты "Сведени...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20.06.2025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81361&amp;date=20.06.2025&amp;dst=100095&amp;field=134" TargetMode = "External"/>
	<Relationship Id="rId8" Type="http://schemas.openxmlformats.org/officeDocument/2006/relationships/hyperlink" Target="https://login.consultant.ru/link/?req=doc&amp;base=LAW&amp;n=491922&amp;date=20.06.2025&amp;dst=100032&amp;field=134" TargetMode = "External"/>
	<Relationship Id="rId9" Type="http://schemas.openxmlformats.org/officeDocument/2006/relationships/hyperlink" Target="https://login.consultant.ru/link/?req=doc&amp;base=LAW&amp;n=395390&amp;date=20.06.2025&amp;dst=100010&amp;field=134" TargetMode = "External"/>
	<Relationship Id="rId10" Type="http://schemas.openxmlformats.org/officeDocument/2006/relationships/hyperlink" Target="https://login.consultant.ru/link/?req=doc&amp;base=LAW&amp;n=499629&amp;date=20.06.2025&amp;dst=121213&amp;field=134" TargetMode = "External"/>
	<Relationship Id="rId11" Type="http://schemas.openxmlformats.org/officeDocument/2006/relationships/hyperlink" Target="https://login.consultant.ru/link/?req=doc&amp;base=LAW&amp;n=30941&amp;date=20.06.2025" TargetMode = "External"/>
	<Relationship Id="rId12" Type="http://schemas.openxmlformats.org/officeDocument/2006/relationships/hyperlink" Target="https://login.consultant.ru/link/?req=doc&amp;base=LAW&amp;n=507964&amp;date=20.06.2025" TargetMode = "External"/>
	<Relationship Id="rId13" Type="http://schemas.openxmlformats.org/officeDocument/2006/relationships/header" Target="header2.xml"/>
	<Relationship Id="rId14" Type="http://schemas.openxmlformats.org/officeDocument/2006/relationships/footer" Target="footer2.xml"/>
	<Relationship Id="rId15" Type="http://schemas.openxmlformats.org/officeDocument/2006/relationships/hyperlink" Target="https://login.consultant.ru/link/?req=doc&amp;base=LAW&amp;n=483130&amp;date=20.06.2025&amp;dst=215&amp;field=134" TargetMode = "External"/>
	<Relationship Id="rId16" Type="http://schemas.openxmlformats.org/officeDocument/2006/relationships/hyperlink" Target="https://websbor.rosstat.gov.ru/online/info" TargetMode = "External"/>
	<Relationship Id="rId17" Type="http://schemas.openxmlformats.org/officeDocument/2006/relationships/hyperlink" Target="https://login.consultant.ru/link/?req=doc&amp;base=LAW&amp;n=424544&amp;date=20.06.2025&amp;dst=100012&amp;field=134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foot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Росстата от 26.12.2024 N 689
"Об утверждении формы федерального статистического наблюдения N 4-экспонаты "Сведения о наличии драгоценных металлов и драгоценных камней в музейных предметах" и указаний по ее заполнению"</dc:title>
  <dcterms:created xsi:type="dcterms:W3CDTF">2025-06-20T20:16:01Z</dcterms:created>
</cp:coreProperties>
</file>