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22.11.2007 N 1319</w:t>
              <w:br/>
              <w:t xml:space="preserve">"Об утверждении Административного регламента исполнения Федеральным агентством по культуре и кинематографии государственной функции по определению в установленном порядке состава Музейного фонда Российской Федерации, включению в установленном Порядке музейных предметов и музейных коллекций в состав Музейного фонда Российской Федерации и исключению их из состава этого фонда"</w:t>
              <w:br/>
              <w:t xml:space="preserve">(Зарегистрировано в Минюсте России 19.03.2008 N 11376)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19 марта 2008 г. N 11376</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И МАССОВЫХ КОММУНИКАЦИЙ</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22 ноября 2007 г. N 1319</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ИСПОЛНЕНИЯ ФЕДЕРАЛЬНЫМ АГЕНТСТВОМ ПО КУЛЬТУРЕ</w:t>
      </w:r>
    </w:p>
    <w:p>
      <w:pPr>
        <w:pStyle w:val="2"/>
        <w:jc w:val="center"/>
      </w:pPr>
      <w:r>
        <w:rPr>
          <w:sz w:val="24"/>
        </w:rPr>
        <w:t xml:space="preserve">И КИНЕМАТОГРАФИИ ГОСУДАРСТВЕННОЙ ФУНКЦИИ ПО ОПРЕДЕЛЕНИЮ</w:t>
      </w:r>
    </w:p>
    <w:p>
      <w:pPr>
        <w:pStyle w:val="2"/>
        <w:jc w:val="center"/>
      </w:pPr>
      <w:r>
        <w:rPr>
          <w:sz w:val="24"/>
        </w:rPr>
        <w:t xml:space="preserve">В УСТАНОВЛЕННОМ ПОРЯДКЕ СОСТАВА МУЗЕЙНОГО ФОНДА РОССИЙСКОЙ</w:t>
      </w:r>
    </w:p>
    <w:p>
      <w:pPr>
        <w:pStyle w:val="2"/>
        <w:jc w:val="center"/>
      </w:pPr>
      <w:r>
        <w:rPr>
          <w:sz w:val="24"/>
        </w:rPr>
        <w:t xml:space="preserve">ФЕДЕРАЦИИ, ВКЛЮЧЕНИЮ В УСТАНОВЛЕННОМ ПОРЯДКЕ МУЗЕЙНЫХ</w:t>
      </w:r>
    </w:p>
    <w:p>
      <w:pPr>
        <w:pStyle w:val="2"/>
        <w:jc w:val="center"/>
      </w:pPr>
      <w:r>
        <w:rPr>
          <w:sz w:val="24"/>
        </w:rPr>
        <w:t xml:space="preserve">ПРЕДМЕТОВ И МУЗЕЙНЫХ КОЛЛЕКЦИЙ В СОСТАВ МУЗЕЙНОГО ФОНДА</w:t>
      </w:r>
    </w:p>
    <w:p>
      <w:pPr>
        <w:pStyle w:val="2"/>
        <w:jc w:val="center"/>
      </w:pPr>
      <w:r>
        <w:rPr>
          <w:sz w:val="24"/>
        </w:rPr>
        <w:t xml:space="preserve">РОССИЙСКОЙ ФЕДЕРАЦИИ И ИСКЛЮЧЕНИЮ ИХ</w:t>
      </w:r>
    </w:p>
    <w:p>
      <w:pPr>
        <w:pStyle w:val="2"/>
        <w:jc w:val="center"/>
      </w:pPr>
      <w:r>
        <w:rPr>
          <w:sz w:val="24"/>
        </w:rPr>
        <w:t xml:space="preserve">ИЗ СОСТАВА ЭТОГО ФОНДА</w:t>
      </w:r>
    </w:p>
    <w:p>
      <w:pPr>
        <w:pStyle w:val="0"/>
        <w:ind w:firstLine="540"/>
        <w:jc w:val="both"/>
      </w:pPr>
      <w:r>
        <w:rPr>
          <w:sz w:val="24"/>
        </w:rPr>
      </w:r>
    </w:p>
    <w:p>
      <w:pPr>
        <w:pStyle w:val="0"/>
        <w:ind w:firstLine="540"/>
        <w:jc w:val="both"/>
      </w:pPr>
      <w:r>
        <w:rPr>
          <w:sz w:val="24"/>
        </w:rPr>
        <w:t xml:space="preserve">В соответствии с </w:t>
      </w:r>
      <w:hyperlink w:history="0" r:id="rId7" w:tooltip="Постановление Правительства РФ от 11.11.2005 N 679 (ред. от 13.06.2018) &quot;О Порядке разработки и утверждения административных регламентов исполнения государственных функций (предоставления государственных услуг)&quot; {КонсультантПлюс}">
        <w:r>
          <w:rPr>
            <w:sz w:val="24"/>
            <w:color w:val="0000ff"/>
          </w:rPr>
          <w:t xml:space="preserve">пунктом 7</w:t>
        </w:r>
      </w:hyperlink>
      <w:r>
        <w:rPr>
          <w:sz w:val="24"/>
        </w:rPr>
        <w:t xml:space="preserve"> Порядка разработки и утверждения административных регламентов исполнения государственной функции и административных регламентов предоставления государственных услуг, утвержденного Постановлением Правительства Российской Федерации от 11 ноября 2005 г. N 679 (Собрание законодательства Российской Федерации, 2005, N 47, ст. 4933), приказываю:</w:t>
      </w:r>
    </w:p>
    <w:p>
      <w:pPr>
        <w:pStyle w:val="0"/>
        <w:spacing w:before="240" w:line-rule="auto"/>
        <w:ind w:firstLine="540"/>
        <w:jc w:val="both"/>
      </w:pPr>
      <w:r>
        <w:rPr>
          <w:sz w:val="24"/>
        </w:rPr>
        <w:t xml:space="preserve">1. Утвердить прилагаемый Административный </w:t>
      </w:r>
      <w:hyperlink w:history="0" w:anchor="P37" w:tooltip="АДМИНИСТРАТИВНЫЙ РЕГЛАМЕНТ">
        <w:r>
          <w:rPr>
            <w:sz w:val="24"/>
            <w:color w:val="0000ff"/>
          </w:rPr>
          <w:t xml:space="preserve">регламент</w:t>
        </w:r>
      </w:hyperlink>
      <w:r>
        <w:rPr>
          <w:sz w:val="24"/>
        </w:rPr>
        <w:t xml:space="preserve"> исполнения Федеральным агентством по культуре и кинематографии государственной функции по определению в установленном порядке состава Музейного фонда Российской Федерации, включению в установленном порядке музейных предметов и музейных коллекций в состав Музейного фонда Российской Федерации и исключению их из состава этого фонда.</w:t>
      </w:r>
    </w:p>
    <w:p>
      <w:pPr>
        <w:pStyle w:val="0"/>
        <w:spacing w:before="240" w:line-rule="auto"/>
        <w:ind w:firstLine="540"/>
        <w:jc w:val="both"/>
      </w:pPr>
      <w:r>
        <w:rPr>
          <w:sz w:val="24"/>
        </w:rPr>
        <w:t xml:space="preserve">2. Направить настоящий Приказ на государственную регистрацию в Министерство юстиции Российской Федерации.</w:t>
      </w:r>
    </w:p>
    <w:p>
      <w:pPr>
        <w:pStyle w:val="0"/>
        <w:spacing w:before="240" w:line-rule="auto"/>
        <w:ind w:firstLine="540"/>
        <w:jc w:val="both"/>
      </w:pPr>
      <w:r>
        <w:rPr>
          <w:sz w:val="24"/>
        </w:rPr>
        <w:t xml:space="preserve">3. Контроль за исполнением настоящего Приказа возложить на статс-секретаря - заместителя Министра П.А. Пожигайло.</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А.С.СОКОЛОВ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 культуры</w:t>
      </w:r>
    </w:p>
    <w:p>
      <w:pPr>
        <w:pStyle w:val="0"/>
        <w:jc w:val="right"/>
      </w:pPr>
      <w:r>
        <w:rPr>
          <w:sz w:val="24"/>
        </w:rPr>
        <w:t xml:space="preserve">и массовых коммуникаций</w:t>
      </w:r>
    </w:p>
    <w:p>
      <w:pPr>
        <w:pStyle w:val="0"/>
        <w:jc w:val="right"/>
      </w:pPr>
      <w:r>
        <w:rPr>
          <w:sz w:val="24"/>
        </w:rPr>
        <w:t xml:space="preserve">Российской Федерации</w:t>
      </w:r>
    </w:p>
    <w:p>
      <w:pPr>
        <w:pStyle w:val="0"/>
        <w:jc w:val="right"/>
      </w:pPr>
      <w:r>
        <w:rPr>
          <w:sz w:val="24"/>
        </w:rPr>
        <w:t xml:space="preserve">от 22 ноября 2007 г. N 1319</w:t>
      </w:r>
    </w:p>
    <w:p>
      <w:pPr>
        <w:pStyle w:val="0"/>
        <w:ind w:firstLine="540"/>
        <w:jc w:val="both"/>
      </w:pPr>
      <w:r>
        <w:rPr>
          <w:sz w:val="24"/>
        </w:rPr>
      </w:r>
    </w:p>
    <w:bookmarkStart w:id="37" w:name="P37"/>
    <w:bookmarkEnd w:id="37"/>
    <w:p>
      <w:pPr>
        <w:pStyle w:val="2"/>
        <w:jc w:val="center"/>
      </w:pPr>
      <w:r>
        <w:rPr>
          <w:sz w:val="24"/>
        </w:rPr>
        <w:t xml:space="preserve">АДМИНИСТРАТИВНЫЙ РЕГЛАМЕНТ</w:t>
      </w:r>
    </w:p>
    <w:p>
      <w:pPr>
        <w:pStyle w:val="2"/>
        <w:jc w:val="center"/>
      </w:pPr>
      <w:r>
        <w:rPr>
          <w:sz w:val="24"/>
        </w:rPr>
        <w:t xml:space="preserve">ФЕДЕРАЛЬНОГО АГЕНТСТВА ПО КУЛЬТУРЕ И КИНЕМАТОГРАФИИ</w:t>
      </w:r>
    </w:p>
    <w:p>
      <w:pPr>
        <w:pStyle w:val="2"/>
        <w:jc w:val="center"/>
      </w:pPr>
      <w:r>
        <w:rPr>
          <w:sz w:val="24"/>
        </w:rPr>
        <w:t xml:space="preserve">ПО ИСПОЛНЕНИЮ ГОСУДАРСТВЕННОЙ ФУНКЦИИ ПО ОПРЕДЕЛЕНИЮ</w:t>
      </w:r>
    </w:p>
    <w:p>
      <w:pPr>
        <w:pStyle w:val="2"/>
        <w:jc w:val="center"/>
      </w:pPr>
      <w:r>
        <w:rPr>
          <w:sz w:val="24"/>
        </w:rPr>
        <w:t xml:space="preserve">В УСТАНОВЛЕННОМ ПОРЯДКЕ СОСТАВА МУЗЕЙНОГО ФОНДА РОССИЙСКОЙ</w:t>
      </w:r>
    </w:p>
    <w:p>
      <w:pPr>
        <w:pStyle w:val="2"/>
        <w:jc w:val="center"/>
      </w:pPr>
      <w:r>
        <w:rPr>
          <w:sz w:val="24"/>
        </w:rPr>
        <w:t xml:space="preserve">ФЕДЕРАЦИИ, ВКЛЮЧЕНИЮ В УСТАНОВЛЕННОМ ПОРЯДКЕ МУЗЕЙНЫХ</w:t>
      </w:r>
    </w:p>
    <w:p>
      <w:pPr>
        <w:pStyle w:val="2"/>
        <w:jc w:val="center"/>
      </w:pPr>
      <w:r>
        <w:rPr>
          <w:sz w:val="24"/>
        </w:rPr>
        <w:t xml:space="preserve">ПРЕДМЕТОВ И МУЗЕЙНЫХ КОЛЛЕКЦИЙ В СОСТАВ МУЗЕЙНОГО ФОНДА</w:t>
      </w:r>
    </w:p>
    <w:p>
      <w:pPr>
        <w:pStyle w:val="2"/>
        <w:jc w:val="center"/>
      </w:pPr>
      <w:r>
        <w:rPr>
          <w:sz w:val="24"/>
        </w:rPr>
        <w:t xml:space="preserve">РОССИЙСКОЙ ФЕДЕРАЦИИ И ИСКЛЮЧЕНИЮ ИХ</w:t>
      </w:r>
    </w:p>
    <w:p>
      <w:pPr>
        <w:pStyle w:val="2"/>
        <w:jc w:val="center"/>
      </w:pPr>
      <w:r>
        <w:rPr>
          <w:sz w:val="24"/>
        </w:rPr>
        <w:t xml:space="preserve">ИЗ СОСТАВА ЭТОГО ФОНДА</w:t>
      </w:r>
    </w:p>
    <w:p>
      <w:pPr>
        <w:pStyle w:val="0"/>
        <w:ind w:firstLine="540"/>
        <w:jc w:val="both"/>
      </w:pPr>
      <w:r>
        <w:rPr>
          <w:sz w:val="24"/>
        </w:rPr>
      </w:r>
    </w:p>
    <w:p>
      <w:pPr>
        <w:pStyle w:val="0"/>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Административный регламент Федерального агентства по культуре и кинематографии по исполнению </w:t>
      </w:r>
      <w:hyperlink w:history="0" r:id="rId8" w:tooltip="Постановление Правительства РФ от 20.07.2011 N 590 (ред. от 27.02.2025)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государственной функции</w:t>
        </w:r>
      </w:hyperlink>
      <w:r>
        <w:rPr>
          <w:sz w:val="24"/>
        </w:rPr>
        <w:t xml:space="preserve"> по определению в установленном порядке состава Музейного фонда Российской Федерации, включение в установленном порядке музейных предметов и музейных коллекций в достав Музейного фонда Российской Федерации и исключение их из состава этого фонда (далее - административный регламент), определяет сроки и последовательность действий (административных процедур) Федерального агентства по культуре и кинематографии (далее - Роскультура), порядок взаимодействия между структурными подразделениями и должностными лицами, а также порядок взаимодействия Роскультуры и ее структурных подразделений с федеральными органами исполнительной власти при осуществлении полномочий по определению в установленном порядке состава Музейного фонда Российской Федерации, включение в установленном порядке музейных предметов и музейных коллекций в состав Музейного фонда Российской Федерации и исключение их из состава этого фонда (далее - государственная функция).</w:t>
      </w:r>
    </w:p>
    <w:p>
      <w:pPr>
        <w:pStyle w:val="0"/>
        <w:spacing w:before="240" w:line-rule="auto"/>
        <w:ind w:firstLine="540"/>
        <w:jc w:val="both"/>
      </w:pPr>
      <w:r>
        <w:rPr>
          <w:sz w:val="24"/>
        </w:rPr>
        <w:t xml:space="preserve">2. Реализация государственной функции включает в себя:</w:t>
      </w:r>
    </w:p>
    <w:p>
      <w:pPr>
        <w:pStyle w:val="0"/>
        <w:spacing w:before="240" w:line-rule="auto"/>
        <w:ind w:firstLine="540"/>
        <w:jc w:val="both"/>
      </w:pPr>
      <w:r>
        <w:rPr>
          <w:sz w:val="24"/>
        </w:rPr>
        <w:t xml:space="preserve">- включение в установленном </w:t>
      </w:r>
      <w:hyperlink w:history="0" r:id="rId9"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порядке</w:t>
        </w:r>
      </w:hyperlink>
      <w:r>
        <w:rPr>
          <w:sz w:val="24"/>
        </w:rPr>
        <w:t xml:space="preserve"> музейных предметов и музейных коллекций в государственную часть Музейного фонда Российской Федерации;</w:t>
      </w:r>
    </w:p>
    <w:p>
      <w:pPr>
        <w:pStyle w:val="0"/>
        <w:spacing w:before="240" w:line-rule="auto"/>
        <w:ind w:firstLine="540"/>
        <w:jc w:val="both"/>
      </w:pPr>
      <w:r>
        <w:rPr>
          <w:sz w:val="24"/>
        </w:rPr>
        <w:t xml:space="preserve">- включение в установленном порядке музейных предметов и музейных коллекций в негосударственную часть Музейного фонда Российской Федерации;</w:t>
      </w:r>
    </w:p>
    <w:p>
      <w:pPr>
        <w:pStyle w:val="0"/>
        <w:spacing w:before="240" w:line-rule="auto"/>
        <w:ind w:firstLine="540"/>
        <w:jc w:val="both"/>
      </w:pPr>
      <w:r>
        <w:rPr>
          <w:sz w:val="24"/>
        </w:rPr>
        <w:t xml:space="preserve">- исключение в установленном </w:t>
      </w:r>
      <w:hyperlink w:history="0" r:id="rId10"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порядке</w:t>
        </w:r>
      </w:hyperlink>
      <w:r>
        <w:rPr>
          <w:sz w:val="24"/>
        </w:rPr>
        <w:t xml:space="preserve"> музейных предметов и музейных коллекций из государственной части Музейного фонда Российской Федерации;</w:t>
      </w:r>
    </w:p>
    <w:p>
      <w:pPr>
        <w:pStyle w:val="0"/>
        <w:spacing w:before="240" w:line-rule="auto"/>
        <w:ind w:firstLine="540"/>
        <w:jc w:val="both"/>
      </w:pPr>
      <w:r>
        <w:rPr>
          <w:sz w:val="24"/>
        </w:rPr>
        <w:t xml:space="preserve">- исключение в установленном </w:t>
      </w:r>
      <w:hyperlink w:history="0" r:id="rId11"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порядке</w:t>
        </w:r>
      </w:hyperlink>
      <w:r>
        <w:rPr>
          <w:sz w:val="24"/>
        </w:rPr>
        <w:t xml:space="preserve"> музейных предметов и музейных коллекций из негосударственной части Музейного фонда Российской Федерации.</w:t>
      </w:r>
    </w:p>
    <w:p>
      <w:pPr>
        <w:pStyle w:val="0"/>
        <w:spacing w:before="240" w:line-rule="auto"/>
        <w:ind w:firstLine="540"/>
        <w:jc w:val="both"/>
      </w:pPr>
      <w:r>
        <w:rPr>
          <w:sz w:val="24"/>
        </w:rPr>
        <w:t xml:space="preserve">3. Конечным результатом по исполняемой Роскультурой государственной функции является определение состава (формирование) Музейного фонда Российской Федерации.</w:t>
      </w:r>
    </w:p>
    <w:p>
      <w:pPr>
        <w:pStyle w:val="0"/>
        <w:ind w:firstLine="540"/>
        <w:jc w:val="both"/>
      </w:pPr>
      <w:r>
        <w:rPr>
          <w:sz w:val="24"/>
        </w:rPr>
      </w:r>
    </w:p>
    <w:p>
      <w:pPr>
        <w:pStyle w:val="0"/>
        <w:outlineLvl w:val="2"/>
        <w:jc w:val="center"/>
      </w:pPr>
      <w:r>
        <w:rPr>
          <w:sz w:val="24"/>
        </w:rPr>
        <w:t xml:space="preserve">Нормативно-правовое регулирование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4. Исполнение государственной функции осуществляется в соответствии с:</w:t>
      </w:r>
    </w:p>
    <w:p>
      <w:pPr>
        <w:pStyle w:val="0"/>
        <w:spacing w:before="240" w:line-rule="auto"/>
        <w:ind w:firstLine="540"/>
        <w:jc w:val="both"/>
      </w:pPr>
      <w:r>
        <w:rPr>
          <w:sz w:val="24"/>
        </w:rPr>
        <w:t xml:space="preserve">4.1. Гражданским </w:t>
      </w:r>
      <w:hyperlink w:history="0" r:id="rId12" w:tooltip="&quot;Гражданский кодекс Российской Федерации (часть первая)&quot; от 30.11.1994 N 51-ФЗ (ред. от 08.08.2024, с изм. от 31.10.2024) {КонсультантПлюс}">
        <w:r>
          <w:rPr>
            <w:sz w:val="24"/>
            <w:color w:val="0000ff"/>
          </w:rPr>
          <w:t xml:space="preserve">кодексом</w:t>
        </w:r>
      </w:hyperlink>
      <w:r>
        <w:rPr>
          <w:sz w:val="24"/>
        </w:rPr>
        <w:t xml:space="preserve"> Российской Федерации (часть I, Собрание законодательства Российской Федерации, 1994, N 32, ст. 3301; 1996, N 9, ст. 773; N 34, ст. 4026; 1999, N 28, ст. 3471; 2001, N 17, ст. 1644; N 21, ст. 2063; 2002, N 12, ст. 1093; N 48, ст. 4746, ст. 4737; 2003, N 2, ст. 167; N 52, ст. 5034; 2004, N 27, ст. 2711; N 31, ст. 3233; 2005, N 1, ст. 18, ст. 39, ст. 43; N 27, ст. 2722; N 30, ст. 3120; 2006, N 2, ст. 171; N 3, ст. 282; N 6, ст. 636; N 23, ст. 2380; N 27, ст. 2881; N 31, ст. 3437; N 45, ст. 4627; N 50, ст. 5279; N 52, ст. 5497, ст. 5498; 2007, N 1, ст. 21, 39; N 5, ст. 558; N 7, ст. 834; N 17, ст. 1929; N 27, ст. 3213; часть II, Собрание законодательства Российской Федерации 1996, N 5, ст. 410, N 34, ст. 4025; 1997, N 43, ст. 4903; 1999, N 51, ст. 6288; 2002, N 48, ст. 4737; 2003, N 2, ст. 160; 2003, N 2, ст. 167; 2003, N 13, ст. 1179; 2003, N 52 (ч. I), ст. 5034; 2005, N 1 (часть I), ст. 15; 2005, N 1 (часть I), ст. 45; 2005, N 13, ст. 1080; 2005, N 19, ст. 1752; 2005, N 30 (ч. I), ст. 3100; 2006, N 6, ст. 636; 2006, N 52 (ч. I), ст. 5497; 2007, N 1 (ч. I), ст. 39; 2007, N 5, ст. 558; 2007, N 17, ст. 1929; 2007, N 27, ст. 3213; 2007, N 31, ст. 3993; 2007, N 31, ст. 4015; 2007, N 41, ст. 4845; 2007, N 44, ст. 5282; 2007, N 45, ст. 5428; 2007, N 49, ст. 6048; 2007, N 49, ст. 6048; 2007, N 50, ст. 6247);</w:t>
      </w:r>
    </w:p>
    <w:p>
      <w:pPr>
        <w:pStyle w:val="0"/>
        <w:spacing w:before="240" w:line-rule="auto"/>
        <w:ind w:firstLine="540"/>
        <w:jc w:val="both"/>
      </w:pPr>
      <w:r>
        <w:rPr>
          <w:sz w:val="24"/>
        </w:rPr>
        <w:t xml:space="preserve">4.2. Федеральным </w:t>
      </w:r>
      <w:hyperlink w:history="0" r:id="rId13"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законом</w:t>
        </w:r>
      </w:hyperlink>
      <w:r>
        <w:rPr>
          <w:sz w:val="24"/>
        </w:rPr>
        <w:t xml:space="preserve"> "О Музейном фонде Российской Федерации и музеях в Российской Федерации от 26.05.1996 N 54-ФЗ (Собрание законодательства Российской Федерации, 27.05.1996, N 22, ст. 2591; 2003, N 2, ст. 167; 2004, N 35, ст. 3607; 2007, N 27, ст. 3213);</w:t>
      </w:r>
    </w:p>
    <w:p>
      <w:pPr>
        <w:pStyle w:val="0"/>
        <w:spacing w:before="240" w:line-rule="auto"/>
        <w:ind w:firstLine="540"/>
        <w:jc w:val="both"/>
      </w:pPr>
      <w:r>
        <w:rPr>
          <w:sz w:val="24"/>
        </w:rPr>
        <w:t xml:space="preserve">4.3. </w:t>
      </w:r>
      <w:hyperlink w:history="0" r:id="rId14" w:tooltip="Постановление Правительства РФ от 17.06.2004 N 291 (ред. от 26.05.2005) &quot;О Федеральном агентстве по культуре и кинематограф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17 июня 2004 г. N 291 "О Федеральном агентстве по культуре и кинематографии" (Собрание законодательства Российской Федерации, 21.06.2004, N 25, ст. 2573; 30.05.2005, N 22, ст. 2136);</w:t>
      </w:r>
    </w:p>
    <w:p>
      <w:pPr>
        <w:pStyle w:val="0"/>
        <w:spacing w:before="240" w:line-rule="auto"/>
        <w:ind w:firstLine="540"/>
        <w:jc w:val="both"/>
      </w:pPr>
      <w:r>
        <w:rPr>
          <w:sz w:val="24"/>
        </w:rPr>
        <w:t xml:space="preserve">4.4. </w:t>
      </w:r>
      <w:hyperlink w:history="0" r:id="rId15" w:tooltip="Постановление Правительства РФ от 12.02.1998 N 179 (ред. от 28.11.2018) &quot;Об утверждении Положений о Музейном фонде Российской Федерации, о Государственном каталоге Музейного фонда Российской Федерации, о лицензировании деятельности музеев в Российской Федерации&quot; ------------ Утратил силу или отменен {КонсультантПлюс}">
        <w:r>
          <w:rPr>
            <w:sz w:val="24"/>
            <w:color w:val="0000ff"/>
          </w:rPr>
          <w:t xml:space="preserve">Постановлением</w:t>
        </w:r>
      </w:hyperlink>
      <w:r>
        <w:rPr>
          <w:sz w:val="24"/>
        </w:rPr>
        <w:t xml:space="preserve"> Правительства Российской Федерации от 12 февраля 1998 г. N 179 "Об утверждении положений о Музейном фонде Российской Федерации, о Государственном каталоге Музейного фонда Российской Федерации, о лицензировании деятельности музеев в Российской Федерации" (Собрание законодательства Российской Федерации, 23.02.1998, N 8, ст. 949; 2002, N 20, ст. 1859);</w:t>
      </w:r>
    </w:p>
    <w:p>
      <w:pPr>
        <w:pStyle w:val="0"/>
        <w:spacing w:before="240" w:line-rule="auto"/>
        <w:ind w:firstLine="540"/>
        <w:jc w:val="both"/>
      </w:pPr>
      <w:r>
        <w:rPr>
          <w:sz w:val="24"/>
        </w:rPr>
        <w:t xml:space="preserve">4.5. </w:t>
      </w:r>
      <w:hyperlink w:history="0" r:id="rId16" w:tooltip="Приказ Минкультуры РФ от 28.07.2000 N 471 &quot;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quot; (Зарегистрировано в Минюсте РФ 30.01.2001 N 2555) ------------ Утратил силу или отменен {КонсультантПлюс}">
        <w:r>
          <w:rPr>
            <w:sz w:val="24"/>
            <w:color w:val="0000ff"/>
          </w:rPr>
          <w:t xml:space="preserve">Приказом</w:t>
        </w:r>
      </w:hyperlink>
      <w:r>
        <w:rPr>
          <w:sz w:val="24"/>
        </w:rPr>
        <w:t xml:space="preserve"> Министерства культуры Российской Федерации от 28 июля 2000 г. N 471 "Об утверждении формы договора о передаче музейных предметов и музейных коллекций, входящих в состав государственной части Музейного фонда Российской Федерации и являющихся федеральной собственностью, в безвозмездное пользование" (зарегистрировано в Минюсте России 30.01.2001 N 2555; Российская газета N 28, 09.02.2001; Бюллетень нормативных актов федеральных органов исполнительной власти, N 7, 12.02.2001);</w:t>
      </w:r>
    </w:p>
    <w:p>
      <w:pPr>
        <w:pStyle w:val="0"/>
        <w:spacing w:before="240" w:line-rule="auto"/>
        <w:ind w:firstLine="540"/>
        <w:jc w:val="both"/>
      </w:pPr>
      <w:r>
        <w:rPr>
          <w:sz w:val="24"/>
        </w:rPr>
        <w:t xml:space="preserve">4.6. иными правовыми актами Российской Федерации, регламентирующими правоотношения в сфере осуществления государственной функции.</w:t>
      </w:r>
    </w:p>
    <w:p>
      <w:pPr>
        <w:pStyle w:val="0"/>
        <w:ind w:firstLine="540"/>
        <w:jc w:val="both"/>
      </w:pPr>
      <w:r>
        <w:rPr>
          <w:sz w:val="24"/>
        </w:rPr>
      </w:r>
    </w:p>
    <w:p>
      <w:pPr>
        <w:pStyle w:val="0"/>
        <w:outlineLvl w:val="2"/>
        <w:jc w:val="center"/>
      </w:pPr>
      <w:r>
        <w:rPr>
          <w:sz w:val="24"/>
        </w:rPr>
        <w:t xml:space="preserve">Орган по исполнению государственной функции</w:t>
      </w:r>
    </w:p>
    <w:p>
      <w:pPr>
        <w:pStyle w:val="0"/>
        <w:ind w:firstLine="540"/>
        <w:jc w:val="both"/>
      </w:pPr>
      <w:r>
        <w:rPr>
          <w:sz w:val="24"/>
        </w:rPr>
      </w:r>
    </w:p>
    <w:p>
      <w:pPr>
        <w:pStyle w:val="0"/>
        <w:ind w:firstLine="540"/>
        <w:jc w:val="both"/>
      </w:pPr>
      <w:r>
        <w:rPr>
          <w:sz w:val="24"/>
        </w:rPr>
        <w:t xml:space="preserve">5. Государственная функция исполняется Роскультурой.</w:t>
      </w:r>
    </w:p>
    <w:p>
      <w:pPr>
        <w:pStyle w:val="0"/>
        <w:spacing w:before="240" w:line-rule="auto"/>
        <w:ind w:firstLine="540"/>
        <w:jc w:val="both"/>
      </w:pPr>
      <w:r>
        <w:rPr>
          <w:sz w:val="24"/>
        </w:rPr>
        <w:t xml:space="preserve">Ответственным за исполнение государственной функции является Управление культурного наследия, художественного образования и науки (далее - Управление).</w:t>
      </w:r>
    </w:p>
    <w:p>
      <w:pPr>
        <w:pStyle w:val="0"/>
        <w:spacing w:before="240" w:line-rule="auto"/>
        <w:ind w:firstLine="540"/>
        <w:jc w:val="both"/>
      </w:pPr>
      <w:r>
        <w:rPr>
          <w:sz w:val="24"/>
        </w:rPr>
        <w:t xml:space="preserve">6. При исполнении государственной функции осуществляется взаимодействие с Заявителями:</w:t>
      </w:r>
    </w:p>
    <w:p>
      <w:pPr>
        <w:pStyle w:val="0"/>
        <w:spacing w:before="240" w:line-rule="auto"/>
        <w:ind w:firstLine="540"/>
        <w:jc w:val="both"/>
      </w:pPr>
      <w:r>
        <w:rPr>
          <w:sz w:val="24"/>
        </w:rPr>
        <w:t xml:space="preserve">- юридическими и физическими лицами - собственниками частных коллекций;</w:t>
      </w:r>
    </w:p>
    <w:p>
      <w:pPr>
        <w:pStyle w:val="0"/>
        <w:spacing w:before="240" w:line-rule="auto"/>
        <w:ind w:firstLine="540"/>
        <w:jc w:val="both"/>
      </w:pPr>
      <w:r>
        <w:rPr>
          <w:sz w:val="24"/>
        </w:rPr>
        <w:t xml:space="preserve">- муниципальными музеями и муниципальными организациями;</w:t>
      </w:r>
    </w:p>
    <w:p>
      <w:pPr>
        <w:pStyle w:val="0"/>
        <w:spacing w:before="240" w:line-rule="auto"/>
        <w:ind w:firstLine="540"/>
        <w:jc w:val="both"/>
      </w:pPr>
      <w:r>
        <w:rPr>
          <w:sz w:val="24"/>
        </w:rPr>
        <w:t xml:space="preserve">- государственными музеями и государственными организациями.</w:t>
      </w:r>
    </w:p>
    <w:p>
      <w:pPr>
        <w:pStyle w:val="0"/>
        <w:ind w:firstLine="540"/>
        <w:jc w:val="both"/>
      </w:pPr>
      <w:r>
        <w:rPr>
          <w:sz w:val="24"/>
        </w:rPr>
      </w:r>
    </w:p>
    <w:p>
      <w:pPr>
        <w:pStyle w:val="0"/>
        <w:outlineLvl w:val="1"/>
        <w:jc w:val="center"/>
      </w:pPr>
      <w:r>
        <w:rPr>
          <w:sz w:val="24"/>
        </w:rPr>
        <w:t xml:space="preserve">II. Требования к порядку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7. Решение о включении музейных предметов и музейных коллекций в состав Музейного фонда Российской Федерации принимается Роскультурой на основании заключения экспертизы и оформляется приказом.</w:t>
      </w:r>
    </w:p>
    <w:bookmarkStart w:id="80" w:name="P80"/>
    <w:bookmarkEnd w:id="80"/>
    <w:p>
      <w:pPr>
        <w:pStyle w:val="0"/>
        <w:spacing w:before="240" w:line-rule="auto"/>
        <w:ind w:firstLine="540"/>
        <w:jc w:val="both"/>
      </w:pPr>
      <w:r>
        <w:rPr>
          <w:sz w:val="24"/>
        </w:rPr>
        <w:t xml:space="preserve">8. Решение об исключении музейных предметов и музейных коллекций из состава Музейного фонда Российской Федерации принимается Роскультурой на основании заключения экспертизы и оформляется приказом.</w:t>
      </w:r>
    </w:p>
    <w:p>
      <w:pPr>
        <w:pStyle w:val="0"/>
        <w:ind w:firstLine="540"/>
        <w:jc w:val="both"/>
      </w:pPr>
      <w:r>
        <w:rPr>
          <w:sz w:val="24"/>
        </w:rPr>
      </w:r>
    </w:p>
    <w:p>
      <w:pPr>
        <w:pStyle w:val="0"/>
        <w:outlineLvl w:val="2"/>
        <w:jc w:val="center"/>
      </w:pPr>
      <w:r>
        <w:rPr>
          <w:sz w:val="24"/>
        </w:rPr>
        <w:t xml:space="preserve">Порядок информирования об исполнении</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9. Информирование по процедуре исполнения государственной функции производится:</w:t>
      </w:r>
    </w:p>
    <w:p>
      <w:pPr>
        <w:pStyle w:val="0"/>
        <w:spacing w:before="240" w:line-rule="auto"/>
        <w:ind w:firstLine="540"/>
        <w:jc w:val="both"/>
      </w:pPr>
      <w:r>
        <w:rPr>
          <w:sz w:val="24"/>
        </w:rPr>
        <w:t xml:space="preserve">9.1. на основании письменного обращения;</w:t>
      </w:r>
    </w:p>
    <w:p>
      <w:pPr>
        <w:pStyle w:val="0"/>
        <w:spacing w:before="240" w:line-rule="auto"/>
        <w:ind w:firstLine="540"/>
        <w:jc w:val="both"/>
      </w:pPr>
      <w:r>
        <w:rPr>
          <w:sz w:val="24"/>
        </w:rPr>
        <w:t xml:space="preserve">9.2. по телефону;</w:t>
      </w:r>
    </w:p>
    <w:p>
      <w:pPr>
        <w:pStyle w:val="0"/>
        <w:spacing w:before="240" w:line-rule="auto"/>
        <w:ind w:firstLine="540"/>
        <w:jc w:val="both"/>
      </w:pPr>
      <w:r>
        <w:rPr>
          <w:sz w:val="24"/>
        </w:rPr>
        <w:t xml:space="preserve">9.3. посредством личного обращения заявителей.</w:t>
      </w:r>
    </w:p>
    <w:p>
      <w:pPr>
        <w:pStyle w:val="0"/>
        <w:spacing w:before="240" w:line-rule="auto"/>
        <w:ind w:firstLine="540"/>
        <w:jc w:val="both"/>
      </w:pPr>
      <w:r>
        <w:rPr>
          <w:sz w:val="24"/>
        </w:rPr>
        <w:t xml:space="preserve">10. При информировании по письменным обращениям ответ на обращение направляется почтой в адрес заявителя в срок, не превышающий 30 рабочих дней с момента регистрации.</w:t>
      </w:r>
    </w:p>
    <w:p>
      <w:pPr>
        <w:pStyle w:val="0"/>
        <w:spacing w:before="240" w:line-rule="auto"/>
        <w:ind w:firstLine="540"/>
        <w:jc w:val="both"/>
      </w:pPr>
      <w:r>
        <w:rPr>
          <w:sz w:val="24"/>
        </w:rPr>
        <w:t xml:space="preserve">11. При ответах на телефонные звонки и устные обращения должностные лица подробно и в вежливой форме информируют заявителей по интересующим их вопросам. Ответ на телефонный звонок должен содержать информацию о наименовании органа, в который поступил телефонный звонок, фамилии, имени, отчестве и должности работника, принявшего телефонный звонок.</w:t>
      </w:r>
    </w:p>
    <w:p>
      <w:pPr>
        <w:pStyle w:val="0"/>
        <w:spacing w:before="240" w:line-rule="auto"/>
        <w:ind w:firstLine="540"/>
        <w:jc w:val="both"/>
      </w:pPr>
      <w:r>
        <w:rPr>
          <w:sz w:val="24"/>
        </w:rPr>
        <w:t xml:space="preserve">12. 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w:t>
      </w:r>
    </w:p>
    <w:p>
      <w:pPr>
        <w:pStyle w:val="0"/>
        <w:spacing w:before="240" w:line-rule="auto"/>
        <w:ind w:firstLine="540"/>
        <w:jc w:val="both"/>
      </w:pPr>
      <w:r>
        <w:rPr>
          <w:sz w:val="24"/>
        </w:rPr>
        <w:t xml:space="preserve">13. При информировании должностное лицо, ответственное за информирование, представляет необходимую информацию со ссылками на соответствующие нормативные правовые акты, в том числе на требования нормативных правовых актов по вопросам ведения Государственного каталога Музейного фонда Российской Федерации.</w:t>
      </w:r>
    </w:p>
    <w:p>
      <w:pPr>
        <w:pStyle w:val="0"/>
        <w:spacing w:before="240" w:line-rule="auto"/>
        <w:ind w:firstLine="540"/>
        <w:jc w:val="both"/>
      </w:pPr>
      <w:r>
        <w:rPr>
          <w:sz w:val="24"/>
        </w:rPr>
        <w:t xml:space="preserve">14. Место нахождения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15. Почтовый адрес для направления документов и обращений по вопросам, указанным в </w:t>
      </w:r>
      <w:hyperlink w:history="0" w:anchor="P80" w:tooltip="8. Решение об исключении музейных предметов и музейных коллекций из состава Музейного фонда Российской Федерации принимается Роскультурой на основании заключения экспертизы и оформляется приказом.">
        <w:r>
          <w:rPr>
            <w:sz w:val="24"/>
            <w:color w:val="0000ff"/>
          </w:rPr>
          <w:t xml:space="preserve">пункте 8</w:t>
        </w:r>
      </w:hyperlink>
      <w:r>
        <w:rPr>
          <w:sz w:val="24"/>
        </w:rPr>
        <w:t xml:space="preserve"> Регламента: 125009, г. Москва, Малый Гнездниковский пер., д. 7.</w:t>
      </w:r>
    </w:p>
    <w:p>
      <w:pPr>
        <w:pStyle w:val="0"/>
        <w:spacing w:before="240" w:line-rule="auto"/>
        <w:ind w:firstLine="540"/>
        <w:jc w:val="both"/>
      </w:pPr>
      <w:r>
        <w:rPr>
          <w:sz w:val="24"/>
        </w:rPr>
        <w:t xml:space="preserve">16. Телефон для справок: (495) 629-6512.</w:t>
      </w:r>
    </w:p>
    <w:p>
      <w:pPr>
        <w:pStyle w:val="0"/>
        <w:spacing w:before="240" w:line-rule="auto"/>
        <w:ind w:firstLine="540"/>
        <w:jc w:val="both"/>
      </w:pPr>
      <w:r>
        <w:rPr>
          <w:sz w:val="24"/>
        </w:rPr>
        <w:t xml:space="preserve">17. Информация об исполняемой Роскультурой государственной функции предоставляется непосредственно в помещении органов, участвующих в исполнении государственной функции, а также по телефону, электронной почте, посредством ее размещения на Интернет-сайте Роскультуры (www.roskultura.ru).</w:t>
      </w:r>
    </w:p>
    <w:p>
      <w:pPr>
        <w:pStyle w:val="0"/>
        <w:spacing w:before="240" w:line-rule="auto"/>
        <w:ind w:firstLine="540"/>
        <w:jc w:val="both"/>
      </w:pPr>
      <w:r>
        <w:rPr>
          <w:sz w:val="24"/>
        </w:rPr>
        <w:t xml:space="preserve">18. На стендах Роскультуры, а также на Интернет-сайте размещается следующая информация:</w:t>
      </w:r>
    </w:p>
    <w:p>
      <w:pPr>
        <w:pStyle w:val="0"/>
        <w:spacing w:before="240" w:line-rule="auto"/>
        <w:ind w:firstLine="540"/>
        <w:jc w:val="both"/>
      </w:pPr>
      <w:r>
        <w:rPr>
          <w:sz w:val="24"/>
        </w:rPr>
        <w:t xml:space="preserve">18.1. режим работы соответствующего органа, а также иных органов, участвующих в процессе исполнения настоящей государственной функции;</w:t>
      </w:r>
    </w:p>
    <w:p>
      <w:pPr>
        <w:pStyle w:val="0"/>
        <w:spacing w:before="240" w:line-rule="auto"/>
        <w:ind w:firstLine="540"/>
        <w:jc w:val="both"/>
      </w:pPr>
      <w:r>
        <w:rPr>
          <w:sz w:val="24"/>
        </w:rPr>
        <w:t xml:space="preserve">18.2. адреса иных организаций, участвующих в процессе исполнения государственной функции;</w:t>
      </w:r>
    </w:p>
    <w:p>
      <w:pPr>
        <w:pStyle w:val="0"/>
        <w:spacing w:before="240" w:line-rule="auto"/>
        <w:ind w:firstLine="540"/>
        <w:jc w:val="both"/>
      </w:pPr>
      <w:r>
        <w:rPr>
          <w:sz w:val="24"/>
        </w:rPr>
        <w:t xml:space="preserve">18.3. о регламенте исполнения настоящей государственной функции.</w:t>
      </w:r>
    </w:p>
    <w:p>
      <w:pPr>
        <w:pStyle w:val="0"/>
        <w:spacing w:before="240" w:line-rule="auto"/>
        <w:ind w:firstLine="540"/>
        <w:jc w:val="both"/>
      </w:pPr>
      <w:r>
        <w:rPr>
          <w:sz w:val="24"/>
        </w:rPr>
        <w:t xml:space="preserve">19. Место нахождения экспедиции Федерального агентства по культуре и кинематографии: 125009, г. Москва, Малый Гнездниковский пер., д. 7.</w:t>
      </w:r>
    </w:p>
    <w:p>
      <w:pPr>
        <w:pStyle w:val="0"/>
        <w:spacing w:before="240" w:line-rule="auto"/>
        <w:ind w:firstLine="540"/>
        <w:jc w:val="both"/>
      </w:pPr>
      <w:r>
        <w:rPr>
          <w:sz w:val="24"/>
        </w:rPr>
        <w:t xml:space="preserve">20. Часы работы экспедиции:</w:t>
      </w:r>
    </w:p>
    <w:p>
      <w:pPr>
        <w:pStyle w:val="3"/>
        <w:spacing w:before="200" w:line-rule="auto"/>
        <w:jc w:val="both"/>
      </w:pPr>
      <w:r>
        <w:rPr>
          <w:sz w:val="20"/>
        </w:rPr>
        <w:t xml:space="preserve">    Понедельник - четверг          10.00 - 18.00</w:t>
      </w:r>
    </w:p>
    <w:p>
      <w:pPr>
        <w:pStyle w:val="3"/>
        <w:jc w:val="both"/>
      </w:pPr>
      <w:r>
        <w:rPr>
          <w:sz w:val="20"/>
        </w:rPr>
        <w:t xml:space="preserve">    Пятница                        10.00 - 16.45</w:t>
      </w:r>
    </w:p>
    <w:p>
      <w:pPr>
        <w:pStyle w:val="3"/>
        <w:jc w:val="both"/>
      </w:pPr>
      <w:r>
        <w:rPr>
          <w:sz w:val="20"/>
        </w:rPr>
        <w:t xml:space="preserve">    Суббота - воскресенье          Выходной день.</w:t>
      </w:r>
    </w:p>
    <w:p>
      <w:pPr>
        <w:pStyle w:val="0"/>
        <w:ind w:firstLine="540"/>
        <w:jc w:val="both"/>
      </w:pPr>
      <w:r>
        <w:rPr>
          <w:sz w:val="24"/>
        </w:rPr>
      </w:r>
    </w:p>
    <w:p>
      <w:pPr>
        <w:pStyle w:val="0"/>
        <w:outlineLvl w:val="1"/>
        <w:jc w:val="center"/>
      </w:pPr>
      <w:r>
        <w:rPr>
          <w:sz w:val="24"/>
        </w:rPr>
        <w:t xml:space="preserve">III. Административные процедуры</w:t>
      </w:r>
    </w:p>
    <w:p>
      <w:pPr>
        <w:pStyle w:val="0"/>
        <w:ind w:firstLine="540"/>
        <w:jc w:val="both"/>
      </w:pPr>
      <w:r>
        <w:rPr>
          <w:sz w:val="24"/>
        </w:rPr>
      </w:r>
    </w:p>
    <w:p>
      <w:pPr>
        <w:pStyle w:val="0"/>
        <w:outlineLvl w:val="2"/>
        <w:jc w:val="center"/>
      </w:pPr>
      <w:r>
        <w:rPr>
          <w:sz w:val="24"/>
        </w:rPr>
        <w:t xml:space="preserve">Описание последовательности действий при осуществлении</w:t>
      </w:r>
    </w:p>
    <w:p>
      <w:pPr>
        <w:pStyle w:val="0"/>
        <w:jc w:val="center"/>
      </w:pPr>
      <w:r>
        <w:rPr>
          <w:sz w:val="24"/>
        </w:rPr>
        <w:t xml:space="preserve">Роскультурой государственной функции</w:t>
      </w:r>
    </w:p>
    <w:p>
      <w:pPr>
        <w:pStyle w:val="0"/>
        <w:ind w:firstLine="540"/>
        <w:jc w:val="both"/>
      </w:pPr>
      <w:r>
        <w:rPr>
          <w:sz w:val="24"/>
        </w:rPr>
      </w:r>
    </w:p>
    <w:p>
      <w:pPr>
        <w:pStyle w:val="0"/>
        <w:ind w:firstLine="540"/>
        <w:jc w:val="both"/>
      </w:pPr>
      <w:r>
        <w:rPr>
          <w:sz w:val="24"/>
        </w:rPr>
        <w:t xml:space="preserve">21. Юридическими фактами, служащими основанием для осуществления государственной функции, являются:</w:t>
      </w:r>
    </w:p>
    <w:bookmarkStart w:id="113" w:name="P113"/>
    <w:bookmarkEnd w:id="113"/>
    <w:p>
      <w:pPr>
        <w:pStyle w:val="0"/>
        <w:spacing w:before="240" w:line-rule="auto"/>
        <w:ind w:firstLine="540"/>
        <w:jc w:val="both"/>
      </w:pPr>
      <w:r>
        <w:rPr>
          <w:sz w:val="24"/>
        </w:rPr>
        <w:t xml:space="preserve">21.1. поступление в Роскультуру обращения о включении музейных предметов и музейных коллекций в государственную часть Музейного фонда Российской Федерации;</w:t>
      </w:r>
    </w:p>
    <w:bookmarkStart w:id="114" w:name="P114"/>
    <w:bookmarkEnd w:id="114"/>
    <w:p>
      <w:pPr>
        <w:pStyle w:val="0"/>
        <w:spacing w:before="240" w:line-rule="auto"/>
        <w:ind w:firstLine="540"/>
        <w:jc w:val="both"/>
      </w:pPr>
      <w:r>
        <w:rPr>
          <w:sz w:val="24"/>
        </w:rPr>
        <w:t xml:space="preserve">21.2. поступление в Роскультуру обращения о включении музейных предметов и музейных коллекций в негосударственную часть Музейного фонда Российской Федерации;</w:t>
      </w:r>
    </w:p>
    <w:bookmarkStart w:id="115" w:name="P115"/>
    <w:bookmarkEnd w:id="115"/>
    <w:p>
      <w:pPr>
        <w:pStyle w:val="0"/>
        <w:spacing w:before="240" w:line-rule="auto"/>
        <w:ind w:firstLine="540"/>
        <w:jc w:val="both"/>
      </w:pPr>
      <w:r>
        <w:rPr>
          <w:sz w:val="24"/>
        </w:rPr>
        <w:t xml:space="preserve">21.3. поступление в Роскультуру обращения об исключении музейных предметов и музейных коллекций из состава Музейного фонда Российской Федерации в связи с утратой предмета или его разрушением;</w:t>
      </w:r>
    </w:p>
    <w:bookmarkStart w:id="116" w:name="P116"/>
    <w:bookmarkEnd w:id="116"/>
    <w:p>
      <w:pPr>
        <w:pStyle w:val="0"/>
        <w:spacing w:before="240" w:line-rule="auto"/>
        <w:ind w:firstLine="540"/>
        <w:jc w:val="both"/>
      </w:pPr>
      <w:r>
        <w:rPr>
          <w:sz w:val="24"/>
        </w:rPr>
        <w:t xml:space="preserve">21.4. поступление в Роскультуру обращения об исключении музейных предметов и музейных коллекций из состава Музейного фонда Российской Федерации в связи с ошибочностью экспертного заключения о культурно-историческом значении, физическом состоянии и других особенностях предметов и коллекций, на основании которого было принято решение о включении их в Музейный фонд Российской Федерации;</w:t>
      </w:r>
    </w:p>
    <w:bookmarkStart w:id="117" w:name="P117"/>
    <w:bookmarkEnd w:id="117"/>
    <w:p>
      <w:pPr>
        <w:pStyle w:val="0"/>
        <w:spacing w:before="240" w:line-rule="auto"/>
        <w:ind w:firstLine="540"/>
        <w:jc w:val="both"/>
      </w:pPr>
      <w:r>
        <w:rPr>
          <w:sz w:val="24"/>
        </w:rPr>
        <w:t xml:space="preserve">21.5. поступление в Роскультуру обращения об исключении музейных предметов и музейных коллекций из состава Музейного фонда Российской Федерации в связи с обменом;</w:t>
      </w:r>
    </w:p>
    <w:bookmarkStart w:id="118" w:name="P118"/>
    <w:bookmarkEnd w:id="118"/>
    <w:p>
      <w:pPr>
        <w:pStyle w:val="0"/>
        <w:spacing w:before="240" w:line-rule="auto"/>
        <w:ind w:firstLine="540"/>
        <w:jc w:val="both"/>
      </w:pPr>
      <w:r>
        <w:rPr>
          <w:sz w:val="24"/>
        </w:rPr>
        <w:t xml:space="preserve">21.6. поступление в Роскультуру обращения об исключении музейных предметов и музейных коллекций из состава Музейного фонда Российской Федерации в связи с соответствующим судебным решением, вступившим в силу.</w:t>
      </w:r>
    </w:p>
    <w:p>
      <w:pPr>
        <w:pStyle w:val="0"/>
        <w:spacing w:before="240" w:line-rule="auto"/>
        <w:ind w:firstLine="540"/>
        <w:jc w:val="both"/>
      </w:pPr>
      <w:r>
        <w:rPr>
          <w:sz w:val="24"/>
        </w:rPr>
        <w:t xml:space="preserve">22. При наступлении обстоятельств, указанных в </w:t>
      </w:r>
      <w:hyperlink w:history="0" w:anchor="P113" w:tooltip="21.1. поступление в Роскультуру обращения о включении музейных предметов и музейных коллекций в государственную часть Музейного фонда Российской Федерации;">
        <w:r>
          <w:rPr>
            <w:sz w:val="24"/>
            <w:color w:val="0000ff"/>
          </w:rPr>
          <w:t xml:space="preserve">пункте 21.1</w:t>
        </w:r>
      </w:hyperlink>
      <w:r>
        <w:rPr>
          <w:sz w:val="24"/>
        </w:rPr>
        <w:t xml:space="preserve"> административного регламента, должностное лицо, ответственное за подготовку к принятию решений о включении в состав Музейного фонда Российской Федерации и исключении их из состава этого фонда (далее - должностное лицо):</w:t>
      </w:r>
    </w:p>
    <w:p>
      <w:pPr>
        <w:pStyle w:val="0"/>
        <w:spacing w:before="240" w:line-rule="auto"/>
        <w:ind w:firstLine="540"/>
        <w:jc w:val="both"/>
      </w:pPr>
      <w:r>
        <w:rPr>
          <w:sz w:val="24"/>
        </w:rPr>
        <w:t xml:space="preserve">22.1. в срок не более 10 дней рассматривает обращение организации вместе с документами-обоснованиями, в которые входят:</w:t>
      </w:r>
    </w:p>
    <w:p>
      <w:pPr>
        <w:pStyle w:val="0"/>
        <w:spacing w:before="240" w:line-rule="auto"/>
        <w:ind w:firstLine="540"/>
        <w:jc w:val="both"/>
      </w:pPr>
      <w:r>
        <w:rPr>
          <w:sz w:val="24"/>
        </w:rPr>
        <w:t xml:space="preserve">- заключение искусствоведческой либо историко-культурной экспертизы;</w:t>
      </w:r>
    </w:p>
    <w:p>
      <w:pPr>
        <w:pStyle w:val="0"/>
        <w:spacing w:before="240" w:line-rule="auto"/>
        <w:ind w:firstLine="540"/>
        <w:jc w:val="both"/>
      </w:pPr>
      <w:r>
        <w:rPr>
          <w:sz w:val="24"/>
        </w:rPr>
        <w:t xml:space="preserve">- оформленное в установленном порядке экспертное заключение по вопросу о целесообразности включения предмета в состав фонда музея (для музеев);</w:t>
      </w:r>
    </w:p>
    <w:p>
      <w:pPr>
        <w:pStyle w:val="0"/>
        <w:spacing w:before="240" w:line-rule="auto"/>
        <w:ind w:firstLine="540"/>
        <w:jc w:val="both"/>
      </w:pPr>
      <w:r>
        <w:rPr>
          <w:sz w:val="24"/>
        </w:rPr>
        <w:t xml:space="preserve">- перечень предметов (по форме согласно </w:t>
      </w:r>
      <w:hyperlink w:history="0" w:anchor="P263" w:tooltip="Перечень предметов,">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 изображения предметов;</w:t>
      </w:r>
    </w:p>
    <w:p>
      <w:pPr>
        <w:pStyle w:val="0"/>
        <w:spacing w:before="240" w:line-rule="auto"/>
        <w:ind w:firstLine="540"/>
        <w:jc w:val="both"/>
      </w:pPr>
      <w:r>
        <w:rPr>
          <w:sz w:val="24"/>
        </w:rPr>
        <w:t xml:space="preserve">22.2.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22.3. в установленном порядке оформляет назначение искусствоведческой, историко-культурной либо технико-технологической экспертизы, общая продолжительность которой не должна превышать 60 дней;</w:t>
      </w:r>
    </w:p>
    <w:p>
      <w:pPr>
        <w:pStyle w:val="0"/>
        <w:spacing w:before="240" w:line-rule="auto"/>
        <w:ind w:firstLine="540"/>
        <w:jc w:val="both"/>
      </w:pPr>
      <w:r>
        <w:rPr>
          <w:sz w:val="24"/>
        </w:rPr>
        <w:t xml:space="preserve">22.4. в срок не более 10 дней с даты поступления заключения экспертизы готовит проект решения Роскультуры о включении музейного предмета в состав Музейного фонда Российской Федерации и представляет его на подпись руководству Роскультуры;</w:t>
      </w:r>
    </w:p>
    <w:p>
      <w:pPr>
        <w:pStyle w:val="0"/>
        <w:spacing w:before="240" w:line-rule="auto"/>
        <w:ind w:firstLine="540"/>
        <w:jc w:val="both"/>
      </w:pPr>
      <w:r>
        <w:rPr>
          <w:sz w:val="24"/>
        </w:rPr>
        <w:t xml:space="preserve">22.5. в срок не более 5 дней со дня принятия Роскультурой решения направляет его организации заказным письмом с уведомлением о вручении для оформления в установленном законом порядке соответствующей сделки, поступления предмета в организацию;</w:t>
      </w:r>
    </w:p>
    <w:p>
      <w:pPr>
        <w:pStyle w:val="0"/>
        <w:spacing w:before="240" w:line-rule="auto"/>
        <w:ind w:firstLine="540"/>
        <w:jc w:val="both"/>
      </w:pPr>
      <w:r>
        <w:rPr>
          <w:sz w:val="24"/>
        </w:rPr>
        <w:t xml:space="preserve">22.6. в срок не более 10 дней рассматривает поступивший в Роскультуру пакет документов после оформления сделки купли-продажи, дарения, вступления в права наследства, оформления в установленном законом порядке поступления предметов в организацию в составе:</w:t>
      </w:r>
    </w:p>
    <w:p>
      <w:pPr>
        <w:pStyle w:val="0"/>
        <w:spacing w:before="240" w:line-rule="auto"/>
        <w:ind w:firstLine="540"/>
        <w:jc w:val="both"/>
      </w:pPr>
      <w:r>
        <w:rPr>
          <w:sz w:val="24"/>
        </w:rPr>
        <w:t xml:space="preserve">- оформленный в установленном порядке документ о внесении предмета в основную учетную документацию;</w:t>
      </w:r>
    </w:p>
    <w:p>
      <w:pPr>
        <w:pStyle w:val="0"/>
        <w:spacing w:before="240" w:line-rule="auto"/>
        <w:ind w:firstLine="540"/>
        <w:jc w:val="both"/>
      </w:pPr>
      <w:r>
        <w:rPr>
          <w:sz w:val="24"/>
        </w:rPr>
        <w:t xml:space="preserve">- копия документа, устанавливающего переход права собственности к государству;</w:t>
      </w:r>
    </w:p>
    <w:p>
      <w:pPr>
        <w:pStyle w:val="0"/>
        <w:spacing w:before="240" w:line-rule="auto"/>
        <w:ind w:firstLine="540"/>
        <w:jc w:val="both"/>
      </w:pPr>
      <w:r>
        <w:rPr>
          <w:sz w:val="24"/>
        </w:rPr>
        <w:t xml:space="preserve">- список предметов с указанием присвоенных учетных обозначений;</w:t>
      </w:r>
    </w:p>
    <w:p>
      <w:pPr>
        <w:pStyle w:val="0"/>
        <w:spacing w:before="240" w:line-rule="auto"/>
        <w:ind w:firstLine="540"/>
        <w:jc w:val="both"/>
      </w:pPr>
      <w:r>
        <w:rPr>
          <w:sz w:val="24"/>
        </w:rPr>
        <w:t xml:space="preserve">- цифровое изображение предмета.</w:t>
      </w:r>
    </w:p>
    <w:p>
      <w:pPr>
        <w:pStyle w:val="0"/>
        <w:spacing w:before="240" w:line-rule="auto"/>
        <w:ind w:firstLine="540"/>
        <w:jc w:val="both"/>
      </w:pPr>
      <w:r>
        <w:rPr>
          <w:sz w:val="24"/>
        </w:rPr>
        <w:t xml:space="preserve">В случае предоставления неполного комплекта документов истребует недостающие документы;</w:t>
      </w:r>
    </w:p>
    <w:p>
      <w:pPr>
        <w:pStyle w:val="0"/>
        <w:spacing w:before="240" w:line-rule="auto"/>
        <w:ind w:firstLine="540"/>
        <w:jc w:val="both"/>
      </w:pPr>
      <w:r>
        <w:rPr>
          <w:sz w:val="24"/>
        </w:rPr>
        <w:t xml:space="preserve">22.7. в срок не более 10 дней готовит проект приказа о включении музейного предмета в состав Музейного фонда Российской Федерации и представляет его на подпись руководству Роскультуры;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22.9. в срок не более 5 дней после подписания приказа передает документы должностному лицу, ответственному за ведение Государственного каталога Музейного фонда Российской Федерации, для включения предмета в Государственный каталог Музейного фонда Российской Федерации и выдачи свидетельства о включении предмета в государственную часть Музейного фонда Российской Федерации.</w:t>
      </w:r>
    </w:p>
    <w:p>
      <w:pPr>
        <w:pStyle w:val="0"/>
        <w:spacing w:before="240" w:line-rule="auto"/>
        <w:ind w:firstLine="540"/>
        <w:jc w:val="both"/>
      </w:pPr>
      <w:r>
        <w:rPr>
          <w:sz w:val="24"/>
        </w:rPr>
        <w:t xml:space="preserve">23. При наступлении обстоятельств, указанных в </w:t>
      </w:r>
      <w:hyperlink w:history="0" w:anchor="P114" w:tooltip="21.2. поступление в Роскультуру обращения о включении музейных предметов и музейных коллекций в негосударственную часть Музейного фонда Российской Федерации;">
        <w:r>
          <w:rPr>
            <w:sz w:val="24"/>
            <w:color w:val="0000ff"/>
          </w:rPr>
          <w:t xml:space="preserve">пункте 21.2</w:t>
        </w:r>
      </w:hyperlink>
      <w:r>
        <w:rPr>
          <w:sz w:val="24"/>
        </w:rPr>
        <w:t xml:space="preserve"> административного регламента, должностное лицо:</w:t>
      </w:r>
    </w:p>
    <w:p>
      <w:pPr>
        <w:pStyle w:val="0"/>
        <w:spacing w:before="240" w:line-rule="auto"/>
        <w:ind w:firstLine="540"/>
        <w:jc w:val="both"/>
      </w:pPr>
      <w:r>
        <w:rPr>
          <w:sz w:val="24"/>
        </w:rPr>
        <w:t xml:space="preserve">23.1. в срок не более 10 дней рассматривает обращение от музеев, находящихся в ведении органов местного самоуправления, вместе с документами-обоснованиями, в которые входят:</w:t>
      </w:r>
    </w:p>
    <w:p>
      <w:pPr>
        <w:pStyle w:val="0"/>
        <w:spacing w:before="240" w:line-rule="auto"/>
        <w:ind w:firstLine="540"/>
        <w:jc w:val="both"/>
      </w:pPr>
      <w:r>
        <w:rPr>
          <w:sz w:val="24"/>
        </w:rPr>
        <w:t xml:space="preserve">- заключение искусствоведческой либо историко-культурной экспертизы;</w:t>
      </w:r>
    </w:p>
    <w:p>
      <w:pPr>
        <w:pStyle w:val="0"/>
        <w:spacing w:before="240" w:line-rule="auto"/>
        <w:ind w:firstLine="540"/>
        <w:jc w:val="both"/>
      </w:pPr>
      <w:r>
        <w:rPr>
          <w:sz w:val="24"/>
        </w:rPr>
        <w:t xml:space="preserve">- оформленное в установленном порядке экспертное заключение по вопросу о целесообразности включения предмета в состав фонда музея (для музеев);</w:t>
      </w:r>
    </w:p>
    <w:p>
      <w:pPr>
        <w:pStyle w:val="0"/>
        <w:spacing w:before="240" w:line-rule="auto"/>
        <w:ind w:firstLine="540"/>
        <w:jc w:val="both"/>
      </w:pPr>
      <w:r>
        <w:rPr>
          <w:sz w:val="24"/>
        </w:rPr>
        <w:t xml:space="preserve">- перечень предметов (по форме согласно </w:t>
      </w:r>
      <w:hyperlink w:history="0" w:anchor="P263" w:tooltip="Перечень предметов,">
        <w:r>
          <w:rPr>
            <w:sz w:val="24"/>
            <w:color w:val="0000ff"/>
          </w:rPr>
          <w:t xml:space="preserve">приложению N 1</w:t>
        </w:r>
      </w:hyperlink>
      <w:r>
        <w:rPr>
          <w:sz w:val="24"/>
        </w:rPr>
        <w:t xml:space="preserve">);</w:t>
      </w:r>
    </w:p>
    <w:p>
      <w:pPr>
        <w:pStyle w:val="0"/>
        <w:spacing w:before="240" w:line-rule="auto"/>
        <w:ind w:firstLine="540"/>
        <w:jc w:val="both"/>
      </w:pPr>
      <w:r>
        <w:rPr>
          <w:sz w:val="24"/>
        </w:rPr>
        <w:t xml:space="preserve">- изображения предметов;</w:t>
      </w:r>
    </w:p>
    <w:p>
      <w:pPr>
        <w:pStyle w:val="0"/>
        <w:spacing w:before="240" w:line-rule="auto"/>
        <w:ind w:firstLine="540"/>
        <w:jc w:val="both"/>
      </w:pPr>
      <w:r>
        <w:rPr>
          <w:sz w:val="24"/>
        </w:rPr>
        <w:t xml:space="preserve">23.1.1.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23.1.2. в установленном порядке оформляет назначение искусствоведческой, историко-культурной либо технико-технологической экспертизы, общая продолжительность которой не должна превышать 60 дней;</w:t>
      </w:r>
    </w:p>
    <w:p>
      <w:pPr>
        <w:pStyle w:val="0"/>
        <w:spacing w:before="240" w:line-rule="auto"/>
        <w:ind w:firstLine="540"/>
        <w:jc w:val="both"/>
      </w:pPr>
      <w:r>
        <w:rPr>
          <w:sz w:val="24"/>
        </w:rPr>
        <w:t xml:space="preserve">23.1.3. в срок не более 10 дней с даты поступления заключения экспертизы готовит проект решения Роскультуры о включении музейного предмета в негосударственную часть Музейного фонда Российской Федерации и представляет его на подпись руководству Роскультуры;</w:t>
      </w:r>
    </w:p>
    <w:p>
      <w:pPr>
        <w:pStyle w:val="0"/>
        <w:spacing w:before="240" w:line-rule="auto"/>
        <w:ind w:firstLine="540"/>
        <w:jc w:val="both"/>
      </w:pPr>
      <w:r>
        <w:rPr>
          <w:sz w:val="24"/>
        </w:rPr>
        <w:t xml:space="preserve">23.1.4. в срок не более 5 дней со дня принятия решения Роскультурой направляет его организации заказным письмом с уведомлением о вручении для оформления в установленном законом порядке соответствующей сделки, поступления предмета в организацию;</w:t>
      </w:r>
    </w:p>
    <w:p>
      <w:pPr>
        <w:pStyle w:val="0"/>
        <w:spacing w:before="240" w:line-rule="auto"/>
        <w:ind w:firstLine="540"/>
        <w:jc w:val="both"/>
      </w:pPr>
      <w:r>
        <w:rPr>
          <w:sz w:val="24"/>
        </w:rPr>
        <w:t xml:space="preserve">23.1.5. в срок не более 10 дней рассматривает поступивший в Роскультуру пакет документов после оформления сделки купли-продажи, дарения, вступления в права наследства, оформления в установленном законом порядке поступления предметов в организацию в составе:</w:t>
      </w:r>
    </w:p>
    <w:p>
      <w:pPr>
        <w:pStyle w:val="0"/>
        <w:spacing w:before="240" w:line-rule="auto"/>
        <w:ind w:firstLine="540"/>
        <w:jc w:val="both"/>
      </w:pPr>
      <w:r>
        <w:rPr>
          <w:sz w:val="24"/>
        </w:rPr>
        <w:t xml:space="preserve">- оформленный в установленном порядке документ о внесении предмета в основную учетную документацию;</w:t>
      </w:r>
    </w:p>
    <w:p>
      <w:pPr>
        <w:pStyle w:val="0"/>
        <w:spacing w:before="240" w:line-rule="auto"/>
        <w:ind w:firstLine="540"/>
        <w:jc w:val="both"/>
      </w:pPr>
      <w:r>
        <w:rPr>
          <w:sz w:val="24"/>
        </w:rPr>
        <w:t xml:space="preserve">- копия документа, устанавливающего переход права собственности к государству;</w:t>
      </w:r>
    </w:p>
    <w:p>
      <w:pPr>
        <w:pStyle w:val="0"/>
        <w:spacing w:before="240" w:line-rule="auto"/>
        <w:ind w:firstLine="540"/>
        <w:jc w:val="both"/>
      </w:pPr>
      <w:r>
        <w:rPr>
          <w:sz w:val="24"/>
        </w:rPr>
        <w:t xml:space="preserve">- список предметов с указанием присвоенных учетных обозначений;</w:t>
      </w:r>
    </w:p>
    <w:p>
      <w:pPr>
        <w:pStyle w:val="0"/>
        <w:spacing w:before="240" w:line-rule="auto"/>
        <w:ind w:firstLine="540"/>
        <w:jc w:val="both"/>
      </w:pPr>
      <w:r>
        <w:rPr>
          <w:sz w:val="24"/>
        </w:rPr>
        <w:t xml:space="preserve">- цифровое изображение предмета.</w:t>
      </w:r>
    </w:p>
    <w:p>
      <w:pPr>
        <w:pStyle w:val="0"/>
        <w:spacing w:before="240" w:line-rule="auto"/>
        <w:ind w:firstLine="540"/>
        <w:jc w:val="both"/>
      </w:pPr>
      <w:r>
        <w:rPr>
          <w:sz w:val="24"/>
        </w:rPr>
        <w:t xml:space="preserve">В случае предоставления неполного комплекта документов истребует недостающие документы;</w:t>
      </w:r>
    </w:p>
    <w:p>
      <w:pPr>
        <w:pStyle w:val="0"/>
        <w:spacing w:before="240" w:line-rule="auto"/>
        <w:ind w:firstLine="540"/>
        <w:jc w:val="both"/>
      </w:pPr>
      <w:r>
        <w:rPr>
          <w:sz w:val="24"/>
        </w:rPr>
        <w:t xml:space="preserve">23.1.6. в срок не более 10 дней готовит проект приказа о включении музейного предмета в состав Музейного фонда Российской Федерации и представляет его на подпись руководству Роскультуры;</w:t>
      </w:r>
    </w:p>
    <w:p>
      <w:pPr>
        <w:pStyle w:val="0"/>
        <w:spacing w:before="240" w:line-rule="auto"/>
        <w:ind w:firstLine="540"/>
        <w:jc w:val="both"/>
      </w:pPr>
      <w:r>
        <w:rPr>
          <w:sz w:val="24"/>
        </w:rPr>
        <w:t xml:space="preserve">23.1.7. в срок не более 5 дней после подписания приказа передает документы должностному лицу, ответственному за ведение Государственного каталога Музейного фонда Российской Федерации для включения предмета в каталог и выдачи свидетельства о включении предмета в негосударственную часть Музейного фонда Российской Федерации;</w:t>
      </w:r>
    </w:p>
    <w:p>
      <w:pPr>
        <w:pStyle w:val="0"/>
        <w:spacing w:before="240" w:line-rule="auto"/>
        <w:ind w:firstLine="540"/>
        <w:jc w:val="both"/>
      </w:pPr>
      <w:r>
        <w:rPr>
          <w:sz w:val="24"/>
        </w:rPr>
        <w:t xml:space="preserve">23.2. в срок не более 10 дней рассматривает обращение собственника (физического или юридического лица) вместе с документами-обоснованиями, в которые входят:</w:t>
      </w:r>
    </w:p>
    <w:p>
      <w:pPr>
        <w:pStyle w:val="0"/>
        <w:spacing w:before="240" w:line-rule="auto"/>
        <w:ind w:firstLine="540"/>
        <w:jc w:val="both"/>
      </w:pPr>
      <w:r>
        <w:rPr>
          <w:sz w:val="24"/>
        </w:rPr>
        <w:t xml:space="preserve">- документ, подтверждающий наличие права собственности на предмет;</w:t>
      </w:r>
    </w:p>
    <w:p>
      <w:pPr>
        <w:pStyle w:val="0"/>
        <w:spacing w:before="240" w:line-rule="auto"/>
        <w:ind w:firstLine="540"/>
        <w:jc w:val="both"/>
      </w:pPr>
      <w:r>
        <w:rPr>
          <w:sz w:val="24"/>
        </w:rPr>
        <w:t xml:space="preserve">- копия документа, удостоверяющего личность (для физического лица), копия учредительных документов (для юридического лица);</w:t>
      </w:r>
    </w:p>
    <w:p>
      <w:pPr>
        <w:pStyle w:val="0"/>
        <w:spacing w:before="240" w:line-rule="auto"/>
        <w:ind w:firstLine="540"/>
        <w:jc w:val="both"/>
      </w:pPr>
      <w:r>
        <w:rPr>
          <w:sz w:val="24"/>
        </w:rPr>
        <w:t xml:space="preserve">- заключение искусствоведческой либо историко-культурной экспертизы (при их наличии);</w:t>
      </w:r>
    </w:p>
    <w:p>
      <w:pPr>
        <w:pStyle w:val="0"/>
        <w:spacing w:before="240" w:line-rule="auto"/>
        <w:ind w:firstLine="540"/>
        <w:jc w:val="both"/>
      </w:pPr>
      <w:r>
        <w:rPr>
          <w:sz w:val="24"/>
        </w:rPr>
        <w:t xml:space="preserve">- перечень предметов (по форме согласно </w:t>
      </w:r>
      <w:hyperlink w:history="0" w:anchor="P318" w:tooltip="Перечень предметов,">
        <w:r>
          <w:rPr>
            <w:sz w:val="24"/>
            <w:color w:val="0000ff"/>
          </w:rPr>
          <w:t xml:space="preserve">приложению N 2</w:t>
        </w:r>
      </w:hyperlink>
      <w:r>
        <w:rPr>
          <w:sz w:val="24"/>
        </w:rPr>
        <w:t xml:space="preserve">);</w:t>
      </w:r>
    </w:p>
    <w:p>
      <w:pPr>
        <w:pStyle w:val="0"/>
        <w:spacing w:before="240" w:line-rule="auto"/>
        <w:ind w:firstLine="540"/>
        <w:jc w:val="both"/>
      </w:pPr>
      <w:r>
        <w:rPr>
          <w:sz w:val="24"/>
        </w:rPr>
        <w:t xml:space="preserve">- изображения предметов;</w:t>
      </w:r>
    </w:p>
    <w:p>
      <w:pPr>
        <w:pStyle w:val="0"/>
        <w:spacing w:before="240" w:line-rule="auto"/>
        <w:ind w:firstLine="540"/>
        <w:jc w:val="both"/>
      </w:pPr>
      <w:r>
        <w:rPr>
          <w:sz w:val="24"/>
        </w:rPr>
        <w:t xml:space="preserve">23.2.1.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23.2.2. в установленном порядке оформляет назначение искусствоведческой, историко-культурной либо технико-технологической экспертизы, общая продолжительность которой не должна превышать 60 дней;</w:t>
      </w:r>
    </w:p>
    <w:p>
      <w:pPr>
        <w:pStyle w:val="0"/>
        <w:spacing w:before="240" w:line-rule="auto"/>
        <w:ind w:firstLine="540"/>
        <w:jc w:val="both"/>
      </w:pPr>
      <w:r>
        <w:rPr>
          <w:sz w:val="24"/>
        </w:rPr>
        <w:t xml:space="preserve">23.2.3. в срок не более 10 дней с даты поступления заключения экспертизы готовит проект приказа Роскультуры о включении музейного предмета в негосударственную часть Музейного фонда Российской Федерации и представляет его на подпись руководству Роскультуры;</w:t>
      </w:r>
    </w:p>
    <w:p>
      <w:pPr>
        <w:pStyle w:val="0"/>
        <w:spacing w:before="240" w:line-rule="auto"/>
        <w:ind w:firstLine="540"/>
        <w:jc w:val="both"/>
      </w:pPr>
      <w:r>
        <w:rPr>
          <w:sz w:val="24"/>
        </w:rPr>
        <w:t xml:space="preserve">23.2.4. в срок не более 5 дней после подписания приказа передает документы должностному лицу, ответственному за ведение Государственного каталога Музейного фонда Российской Федерации для включения предмета в каталог и выдачи свидетельства о включении предмета в негосударственную часть Музейного фонда Российской Федерации.</w:t>
      </w:r>
    </w:p>
    <w:p>
      <w:pPr>
        <w:pStyle w:val="0"/>
        <w:spacing w:before="240" w:line-rule="auto"/>
        <w:ind w:firstLine="540"/>
        <w:jc w:val="both"/>
      </w:pPr>
      <w:r>
        <w:rPr>
          <w:sz w:val="24"/>
        </w:rPr>
        <w:t xml:space="preserve">24. При наступлении обстоятельств, указанных в </w:t>
      </w:r>
      <w:hyperlink w:history="0" w:anchor="P115" w:tooltip="21.3. поступление в Роскультуру обращения об исключении музейных предметов и музейных коллекций из состава Музейного фонда Российской Федерации в связи с утратой предмета или его разрушением;">
        <w:r>
          <w:rPr>
            <w:sz w:val="24"/>
            <w:color w:val="0000ff"/>
          </w:rPr>
          <w:t xml:space="preserve">пункте 21.3</w:t>
        </w:r>
      </w:hyperlink>
      <w:r>
        <w:rPr>
          <w:sz w:val="24"/>
        </w:rPr>
        <w:t xml:space="preserve"> административного регламента, должностное лицо:</w:t>
      </w:r>
    </w:p>
    <w:p>
      <w:pPr>
        <w:pStyle w:val="0"/>
        <w:spacing w:before="240" w:line-rule="auto"/>
        <w:ind w:firstLine="540"/>
        <w:jc w:val="both"/>
      </w:pPr>
      <w:r>
        <w:rPr>
          <w:sz w:val="24"/>
        </w:rPr>
        <w:t xml:space="preserve">24.1. в срок не более 10 дней рассматривает обращение организации вместе с документами-обоснованиями, в которые входят:</w:t>
      </w:r>
    </w:p>
    <w:p>
      <w:pPr>
        <w:pStyle w:val="0"/>
        <w:spacing w:before="240" w:line-rule="auto"/>
        <w:ind w:firstLine="540"/>
        <w:jc w:val="both"/>
      </w:pPr>
      <w:r>
        <w:rPr>
          <w:sz w:val="24"/>
        </w:rPr>
        <w:t xml:space="preserve">- акт об утрате предмета (в связи с пожаром, наводнением и т.п.);</w:t>
      </w:r>
    </w:p>
    <w:p>
      <w:pPr>
        <w:pStyle w:val="0"/>
        <w:spacing w:before="240" w:line-rule="auto"/>
        <w:ind w:firstLine="540"/>
        <w:jc w:val="both"/>
      </w:pPr>
      <w:r>
        <w:rPr>
          <w:sz w:val="24"/>
        </w:rPr>
        <w:t xml:space="preserve">- акт о случившемся событии от органов ОВД, пожарной инспекции и т.п.;</w:t>
      </w:r>
    </w:p>
    <w:p>
      <w:pPr>
        <w:pStyle w:val="0"/>
        <w:spacing w:before="240" w:line-rule="auto"/>
        <w:ind w:firstLine="540"/>
        <w:jc w:val="both"/>
      </w:pPr>
      <w:r>
        <w:rPr>
          <w:sz w:val="24"/>
        </w:rPr>
        <w:t xml:space="preserve">- список утраченных предметов;</w:t>
      </w:r>
    </w:p>
    <w:p>
      <w:pPr>
        <w:pStyle w:val="0"/>
        <w:spacing w:before="240" w:line-rule="auto"/>
        <w:ind w:firstLine="540"/>
        <w:jc w:val="both"/>
      </w:pPr>
      <w:r>
        <w:rPr>
          <w:sz w:val="24"/>
        </w:rPr>
        <w:t xml:space="preserve">- экспертное заключение о невозможности реставрации сохранившихся предметов;</w:t>
      </w:r>
    </w:p>
    <w:p>
      <w:pPr>
        <w:pStyle w:val="0"/>
        <w:spacing w:before="240" w:line-rule="auto"/>
        <w:ind w:firstLine="540"/>
        <w:jc w:val="both"/>
      </w:pPr>
      <w:r>
        <w:rPr>
          <w:sz w:val="24"/>
        </w:rPr>
        <w:t xml:space="preserve">Примечание. Пакет документов формируется применительно к каждому конкретному случаю.</w:t>
      </w:r>
    </w:p>
    <w:p>
      <w:pPr>
        <w:pStyle w:val="0"/>
        <w:ind w:firstLine="540"/>
        <w:jc w:val="both"/>
      </w:pPr>
      <w:r>
        <w:rPr>
          <w:sz w:val="24"/>
        </w:rPr>
      </w:r>
    </w:p>
    <w:p>
      <w:pPr>
        <w:pStyle w:val="0"/>
        <w:ind w:firstLine="540"/>
        <w:jc w:val="both"/>
      </w:pPr>
      <w:r>
        <w:rPr>
          <w:sz w:val="24"/>
        </w:rPr>
        <w:t xml:space="preserve">24.2.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24.3. в случае принятия решения о необходимости проведения дополнительной экспертизы в установленном порядке оформляет назначение соответствующей экспертизы. Срок проведения экспертизы не должен превышать трех месяцев;</w:t>
      </w:r>
    </w:p>
    <w:p>
      <w:pPr>
        <w:pStyle w:val="0"/>
        <w:spacing w:before="240" w:line-rule="auto"/>
        <w:ind w:firstLine="540"/>
        <w:jc w:val="both"/>
      </w:pPr>
      <w:r>
        <w:rPr>
          <w:sz w:val="24"/>
        </w:rPr>
        <w:t xml:space="preserve">24.4. в срок не более 10 дней с даты поступления полного комплекта документов либо заключения дополнительной экспертизы готовит проект приказа об исключении музейного предмета из состава Музейного фонда Российской Федерации в связи с утратой предмета или его разрушением и представляет его на подпись руководству Роскультуры либо готовит письмо об отказе в удовлетворении обращения об исключении;</w:t>
      </w:r>
    </w:p>
    <w:p>
      <w:pPr>
        <w:pStyle w:val="0"/>
        <w:spacing w:before="240" w:line-rule="auto"/>
        <w:ind w:firstLine="540"/>
        <w:jc w:val="both"/>
      </w:pPr>
      <w:r>
        <w:rPr>
          <w:sz w:val="24"/>
        </w:rPr>
        <w:t xml:space="preserve">24.5. в срок не более 5 дней со дня издания приказа направляет организации заказным письмом с уведомлением о вручении заверенную копию приказа Роскультуры либо письмо об отказе.</w:t>
      </w:r>
    </w:p>
    <w:p>
      <w:pPr>
        <w:pStyle w:val="0"/>
        <w:spacing w:before="240" w:line-rule="auto"/>
        <w:ind w:firstLine="540"/>
        <w:jc w:val="both"/>
      </w:pPr>
      <w:r>
        <w:rPr>
          <w:sz w:val="24"/>
        </w:rPr>
        <w:t xml:space="preserve">25. При наступлении обстоятельств, указанных в </w:t>
      </w:r>
      <w:hyperlink w:history="0" w:anchor="P116" w:tooltip="21.4. поступление в Роскультуру обращения об исключении музейных предметов и музейных коллекций из состава Музейного фонда Российской Федерации в связи с ошибочностью экспертного заключения о культурно-историческом значении, физическом состоянии и других особенностях предметов и коллекций, на основании которого было принято решение о включении их в Музейный фонд Российской Федерации;">
        <w:r>
          <w:rPr>
            <w:sz w:val="24"/>
            <w:color w:val="0000ff"/>
          </w:rPr>
          <w:t xml:space="preserve">пункте 21.4</w:t>
        </w:r>
      </w:hyperlink>
      <w:r>
        <w:rPr>
          <w:sz w:val="24"/>
        </w:rPr>
        <w:t xml:space="preserve"> административного регламента, должностное лицо:</w:t>
      </w:r>
    </w:p>
    <w:p>
      <w:pPr>
        <w:pStyle w:val="0"/>
        <w:spacing w:before="240" w:line-rule="auto"/>
        <w:ind w:firstLine="540"/>
        <w:jc w:val="both"/>
      </w:pPr>
      <w:r>
        <w:rPr>
          <w:sz w:val="24"/>
        </w:rPr>
        <w:t xml:space="preserve">25.1. в срок не более 10 дней рассматривает обращение организации вместе с документами-обоснованиями, в которые входят:</w:t>
      </w:r>
    </w:p>
    <w:p>
      <w:pPr>
        <w:pStyle w:val="0"/>
        <w:spacing w:before="240" w:line-rule="auto"/>
        <w:ind w:firstLine="540"/>
        <w:jc w:val="both"/>
      </w:pPr>
      <w:r>
        <w:rPr>
          <w:sz w:val="24"/>
        </w:rPr>
        <w:t xml:space="preserve">- список предметов;</w:t>
      </w:r>
    </w:p>
    <w:p>
      <w:pPr>
        <w:pStyle w:val="0"/>
        <w:spacing w:before="240" w:line-rule="auto"/>
        <w:ind w:firstLine="540"/>
        <w:jc w:val="both"/>
      </w:pPr>
      <w:r>
        <w:rPr>
          <w:sz w:val="24"/>
        </w:rPr>
        <w:t xml:space="preserve">- заверенные копии документов, на основании которых данные предметы были включены в состав Музейного фонда Российской Федерации;</w:t>
      </w:r>
    </w:p>
    <w:p>
      <w:pPr>
        <w:pStyle w:val="0"/>
        <w:spacing w:before="240" w:line-rule="auto"/>
        <w:ind w:firstLine="540"/>
        <w:jc w:val="both"/>
      </w:pPr>
      <w:r>
        <w:rPr>
          <w:sz w:val="24"/>
        </w:rPr>
        <w:t xml:space="preserve">- заключение экспертизы об ошибочности экспертного заключения о культурно-историческом значении, физическом состоянии и других особенностях предметов и коллекций, на основании которого ранее было принято решение о включении их в Музейный фонд Российской Федерации;</w:t>
      </w:r>
    </w:p>
    <w:p>
      <w:pPr>
        <w:pStyle w:val="0"/>
        <w:spacing w:before="240" w:line-rule="auto"/>
        <w:ind w:firstLine="540"/>
        <w:jc w:val="both"/>
      </w:pPr>
      <w:r>
        <w:rPr>
          <w:sz w:val="24"/>
        </w:rPr>
        <w:t xml:space="preserve">25.2.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25.3. в случае принятия решения о необходимости проведения дополнительной экспертизы в установленном порядке оформляет назначение соответствующей экспертизы. Срок проведения экспертизы не должен превышать трех месяцев;</w:t>
      </w:r>
    </w:p>
    <w:p>
      <w:pPr>
        <w:pStyle w:val="0"/>
        <w:spacing w:before="240" w:line-rule="auto"/>
        <w:ind w:firstLine="540"/>
        <w:jc w:val="both"/>
      </w:pPr>
      <w:r>
        <w:rPr>
          <w:sz w:val="24"/>
        </w:rPr>
        <w:t xml:space="preserve">25.4. в срок не более 10 дней с даты поступления полного комплекта документов либо заключения дополнительной экспертизы готовит проект приказа об исключении музейного предмета из состава Музейного фонда Российской Федерации в связи с ошибочностью экспертного заключения о культурно-историческом значении, физическом состоянии и других особенностях предметов и коллекций, на основании которого ранее было принято решение о включении их в Музейный фонд Российской Федерации и представляет его на подпись руководству Роскультуры либо готовит письмо об отказе в удовлетворении обращения об исключении;</w:t>
      </w:r>
    </w:p>
    <w:p>
      <w:pPr>
        <w:pStyle w:val="0"/>
        <w:spacing w:before="240" w:line-rule="auto"/>
        <w:ind w:firstLine="540"/>
        <w:jc w:val="both"/>
      </w:pPr>
      <w:r>
        <w:rPr>
          <w:sz w:val="24"/>
        </w:rPr>
        <w:t xml:space="preserve">25.5. в срок не более 5 дней со дня издания приказа направляет организации заказным письмом с уведомлением о вручении заверенную копию приказа Роскультуры либо письмо об отказе.</w:t>
      </w:r>
    </w:p>
    <w:p>
      <w:pPr>
        <w:pStyle w:val="0"/>
        <w:spacing w:before="240" w:line-rule="auto"/>
        <w:ind w:firstLine="540"/>
        <w:jc w:val="both"/>
      </w:pPr>
      <w:r>
        <w:rPr>
          <w:sz w:val="24"/>
        </w:rPr>
        <w:t xml:space="preserve">26. При наступлении обстоятельств, указанных в </w:t>
      </w:r>
      <w:hyperlink w:history="0" w:anchor="P117" w:tooltip="21.5. поступление в Роскультуру обращения об исключении музейных предметов и музейных коллекций из состава Музейного фонда Российской Федерации в связи с обменом;">
        <w:r>
          <w:rPr>
            <w:sz w:val="24"/>
            <w:color w:val="0000ff"/>
          </w:rPr>
          <w:t xml:space="preserve">пункте 21.5</w:t>
        </w:r>
      </w:hyperlink>
      <w:r>
        <w:rPr>
          <w:sz w:val="24"/>
        </w:rPr>
        <w:t xml:space="preserve"> административного регламента, должностное лицо:</w:t>
      </w:r>
    </w:p>
    <w:p>
      <w:pPr>
        <w:pStyle w:val="0"/>
        <w:spacing w:before="240" w:line-rule="auto"/>
        <w:ind w:firstLine="540"/>
        <w:jc w:val="both"/>
      </w:pPr>
      <w:r>
        <w:rPr>
          <w:sz w:val="24"/>
        </w:rPr>
        <w:t xml:space="preserve">26.1. в срок не более 10 дней рассматривает обращение организации вместе с документами-обоснованиями, в которые входят:</w:t>
      </w:r>
    </w:p>
    <w:p>
      <w:pPr>
        <w:pStyle w:val="0"/>
        <w:spacing w:before="240" w:line-rule="auto"/>
        <w:ind w:firstLine="540"/>
        <w:jc w:val="both"/>
      </w:pPr>
      <w:r>
        <w:rPr>
          <w:sz w:val="24"/>
        </w:rPr>
        <w:t xml:space="preserve">- письмо-заявление владельца предмета и обращение организации об обмене;</w:t>
      </w:r>
    </w:p>
    <w:p>
      <w:pPr>
        <w:pStyle w:val="0"/>
        <w:spacing w:before="240" w:line-rule="auto"/>
        <w:ind w:firstLine="540"/>
        <w:jc w:val="both"/>
      </w:pPr>
      <w:r>
        <w:rPr>
          <w:sz w:val="24"/>
        </w:rPr>
        <w:t xml:space="preserve">- оформленное в установленном порядке решение о целесообразности обмена;</w:t>
      </w:r>
    </w:p>
    <w:p>
      <w:pPr>
        <w:pStyle w:val="0"/>
        <w:spacing w:before="240" w:line-rule="auto"/>
        <w:ind w:firstLine="540"/>
        <w:jc w:val="both"/>
      </w:pPr>
      <w:r>
        <w:rPr>
          <w:sz w:val="24"/>
        </w:rPr>
        <w:t xml:space="preserve">- экспертное заключение о равноценности обмена;</w:t>
      </w:r>
    </w:p>
    <w:p>
      <w:pPr>
        <w:pStyle w:val="0"/>
        <w:spacing w:before="240" w:line-rule="auto"/>
        <w:ind w:firstLine="540"/>
        <w:jc w:val="both"/>
      </w:pPr>
      <w:r>
        <w:rPr>
          <w:sz w:val="24"/>
        </w:rPr>
        <w:t xml:space="preserve">- проект договор мены;</w:t>
      </w:r>
    </w:p>
    <w:p>
      <w:pPr>
        <w:pStyle w:val="0"/>
        <w:spacing w:before="240" w:line-rule="auto"/>
        <w:ind w:firstLine="540"/>
        <w:jc w:val="both"/>
      </w:pPr>
      <w:r>
        <w:rPr>
          <w:sz w:val="24"/>
        </w:rPr>
        <w:t xml:space="preserve">26.2. в случае предоставления неполного комплекта документов истребует недостающие документы, при этом срок рассмотрения обращения исчисляется с момента поступления в Роскультуру полного комплекта документов;</w:t>
      </w:r>
    </w:p>
    <w:p>
      <w:pPr>
        <w:pStyle w:val="0"/>
        <w:spacing w:before="240" w:line-rule="auto"/>
        <w:ind w:firstLine="540"/>
        <w:jc w:val="both"/>
      </w:pPr>
      <w:r>
        <w:rPr>
          <w:sz w:val="24"/>
        </w:rPr>
        <w:t xml:space="preserve">26.3. в случае принятия решения о необходимости проведения дополнительной экспертизы в установленном порядке оформляет назначение соответствующей экспертизы. Срок проведения экспертизы не должен превышать трех месяцев;</w:t>
      </w:r>
    </w:p>
    <w:p>
      <w:pPr>
        <w:pStyle w:val="0"/>
        <w:spacing w:before="240" w:line-rule="auto"/>
        <w:ind w:firstLine="540"/>
        <w:jc w:val="both"/>
      </w:pPr>
      <w:r>
        <w:rPr>
          <w:sz w:val="24"/>
        </w:rPr>
        <w:t xml:space="preserve">26.4. в срок не более 10 дней с даты поступления полного комплекта документов либо заключения дополнительной экспертизы подготавливает письмо - разрешение Роскультуры на обмен либо письмо об отказе в удовлетворении обращения об исключении и в пятидневный срок направляет его организации;</w:t>
      </w:r>
    </w:p>
    <w:p>
      <w:pPr>
        <w:pStyle w:val="0"/>
        <w:spacing w:before="240" w:line-rule="auto"/>
        <w:ind w:firstLine="540"/>
        <w:jc w:val="both"/>
      </w:pPr>
      <w:r>
        <w:rPr>
          <w:sz w:val="24"/>
        </w:rPr>
        <w:t xml:space="preserve">26.5. рассматривает поступивший в Роскультуру пакет документов после совершения операции обмена, оформления акта передачи предмета новому владельцу и регистрации сделки, и в срок не более 10 дней подготавливает проект приказа об исключении музейного предмета из состава Музейного фонда Российской Федерации в связи с обменом и представляет его на подпись руководству Роскультуры;</w:t>
      </w:r>
    </w:p>
    <w:p>
      <w:pPr>
        <w:pStyle w:val="0"/>
        <w:spacing w:before="240" w:line-rule="auto"/>
        <w:ind w:firstLine="540"/>
        <w:jc w:val="both"/>
      </w:pPr>
      <w:r>
        <w:rPr>
          <w:sz w:val="24"/>
        </w:rPr>
        <w:t xml:space="preserve">26.6. в срок не более 5 дней со дня издания приказа направляет организации заказным письмом с уведомлением о вручении заверенную копию приказа Роскультуры.</w:t>
      </w:r>
    </w:p>
    <w:p>
      <w:pPr>
        <w:pStyle w:val="0"/>
        <w:spacing w:before="240" w:line-rule="auto"/>
        <w:ind w:firstLine="540"/>
        <w:jc w:val="both"/>
      </w:pPr>
      <w:r>
        <w:rPr>
          <w:sz w:val="24"/>
        </w:rPr>
        <w:t xml:space="preserve">27. При наступлении обстоятельств, указанных в </w:t>
      </w:r>
      <w:hyperlink w:history="0" w:anchor="P118" w:tooltip="21.6. поступление в Роскультуру обращения об исключении музейных предметов и музейных коллекций из состава Музейного фонда Российской Федерации в связи с соответствующим судебным решением, вступившим в силу.">
        <w:r>
          <w:rPr>
            <w:sz w:val="24"/>
            <w:color w:val="0000ff"/>
          </w:rPr>
          <w:t xml:space="preserve">пункте 21.6</w:t>
        </w:r>
      </w:hyperlink>
      <w:r>
        <w:rPr>
          <w:sz w:val="24"/>
        </w:rPr>
        <w:t xml:space="preserve"> административного регламента, должностное лицо:</w:t>
      </w:r>
    </w:p>
    <w:p>
      <w:pPr>
        <w:pStyle w:val="0"/>
        <w:spacing w:before="240" w:line-rule="auto"/>
        <w:ind w:firstLine="540"/>
        <w:jc w:val="both"/>
      </w:pPr>
      <w:r>
        <w:rPr>
          <w:sz w:val="24"/>
        </w:rPr>
        <w:t xml:space="preserve">27.1. в срок не более 10 дней рассматривает обращение организации вместе с документами-обоснованиями, в которые входят:</w:t>
      </w:r>
    </w:p>
    <w:p>
      <w:pPr>
        <w:pStyle w:val="0"/>
        <w:spacing w:before="240" w:line-rule="auto"/>
        <w:ind w:firstLine="540"/>
        <w:jc w:val="both"/>
      </w:pPr>
      <w:r>
        <w:rPr>
          <w:sz w:val="24"/>
        </w:rPr>
        <w:t xml:space="preserve">- оформленное в установленном порядке решение организации об исключении;</w:t>
      </w:r>
    </w:p>
    <w:p>
      <w:pPr>
        <w:pStyle w:val="0"/>
        <w:spacing w:before="240" w:line-rule="auto"/>
        <w:ind w:firstLine="540"/>
        <w:jc w:val="both"/>
      </w:pPr>
      <w:r>
        <w:rPr>
          <w:sz w:val="24"/>
        </w:rPr>
        <w:t xml:space="preserve">- судебное решение;</w:t>
      </w:r>
    </w:p>
    <w:p>
      <w:pPr>
        <w:pStyle w:val="0"/>
        <w:spacing w:before="240" w:line-rule="auto"/>
        <w:ind w:firstLine="540"/>
        <w:jc w:val="both"/>
      </w:pPr>
      <w:r>
        <w:rPr>
          <w:sz w:val="24"/>
        </w:rPr>
        <w:t xml:space="preserve">- исполнительный лист;</w:t>
      </w:r>
    </w:p>
    <w:p>
      <w:pPr>
        <w:pStyle w:val="0"/>
        <w:spacing w:before="240" w:line-rule="auto"/>
        <w:ind w:firstLine="540"/>
        <w:jc w:val="both"/>
      </w:pPr>
      <w:r>
        <w:rPr>
          <w:sz w:val="24"/>
        </w:rPr>
        <w:t xml:space="preserve">27.2. В срок не более 10 дней подготавливает письмо-разрешение Роскультуры на выдачу предмета и в пятидневный срок направляет его организации;</w:t>
      </w:r>
    </w:p>
    <w:p>
      <w:pPr>
        <w:pStyle w:val="0"/>
        <w:spacing w:before="240" w:line-rule="auto"/>
        <w:ind w:firstLine="540"/>
        <w:jc w:val="both"/>
      </w:pPr>
      <w:r>
        <w:rPr>
          <w:sz w:val="24"/>
        </w:rPr>
        <w:t xml:space="preserve">27.3. рассматривает поступивший в Роскультуру пакет документов после совершения операции по выдаче предмета из музея и оформления акта передачи предмета, и в срок не более 10 дней подготавливает проект приказа об исключении музейного предмета из состава Музейного фонда в связи с выдачей по решению суда и представляет его на подпись руководству Роскультуры;</w:t>
      </w:r>
    </w:p>
    <w:p>
      <w:pPr>
        <w:pStyle w:val="0"/>
        <w:spacing w:before="240" w:line-rule="auto"/>
        <w:ind w:firstLine="540"/>
        <w:jc w:val="both"/>
      </w:pPr>
      <w:r>
        <w:rPr>
          <w:sz w:val="24"/>
        </w:rPr>
        <w:t xml:space="preserve">27.4. в срок не более 5 дней со дня издания приказа направляет организации заказным письмом с уведомлением о вручении заверенную копию приказа Роскультуры.</w:t>
      </w:r>
    </w:p>
    <w:p>
      <w:pPr>
        <w:pStyle w:val="0"/>
        <w:ind w:firstLine="540"/>
        <w:jc w:val="both"/>
      </w:pPr>
      <w:r>
        <w:rPr>
          <w:sz w:val="24"/>
        </w:rPr>
      </w:r>
    </w:p>
    <w:p>
      <w:pPr>
        <w:pStyle w:val="0"/>
        <w:outlineLvl w:val="2"/>
        <w:jc w:val="center"/>
      </w:pPr>
      <w:r>
        <w:rPr>
          <w:sz w:val="24"/>
        </w:rPr>
        <w:t xml:space="preserve">Порядок обжалования действия (бездействия) и решений,</w:t>
      </w:r>
    </w:p>
    <w:p>
      <w:pPr>
        <w:pStyle w:val="0"/>
        <w:jc w:val="center"/>
      </w:pPr>
      <w:r>
        <w:rPr>
          <w:sz w:val="24"/>
        </w:rPr>
        <w:t xml:space="preserve">осуществляемых (принятых) в ходе исполнения</w:t>
      </w:r>
    </w:p>
    <w:p>
      <w:pPr>
        <w:pStyle w:val="0"/>
        <w:jc w:val="center"/>
      </w:pPr>
      <w:r>
        <w:rPr>
          <w:sz w:val="24"/>
        </w:rPr>
        <w:t xml:space="preserve">государственной функции на основании</w:t>
      </w:r>
    </w:p>
    <w:p>
      <w:pPr>
        <w:pStyle w:val="0"/>
        <w:jc w:val="center"/>
      </w:pPr>
      <w:r>
        <w:rPr>
          <w:sz w:val="24"/>
        </w:rPr>
        <w:t xml:space="preserve">настоящего Регламента</w:t>
      </w:r>
    </w:p>
    <w:p>
      <w:pPr>
        <w:pStyle w:val="0"/>
        <w:ind w:firstLine="540"/>
        <w:jc w:val="both"/>
      </w:pPr>
      <w:r>
        <w:rPr>
          <w:sz w:val="24"/>
        </w:rPr>
      </w:r>
    </w:p>
    <w:p>
      <w:pPr>
        <w:pStyle w:val="0"/>
        <w:ind w:firstLine="540"/>
        <w:jc w:val="both"/>
      </w:pPr>
      <w:r>
        <w:rPr>
          <w:sz w:val="24"/>
        </w:rPr>
        <w:t xml:space="preserve">28. Заявитель имеет право обжаловать действия (бездействие) и решения Федерального агентства по культуре и кинематографии, его работников и должностных лиц Руководителю Федерального агентства по культуре и кинематографии, в Министерство культуры и массовых коммуникаций Российской Федерации, а также в судебном порядке.</w:t>
      </w:r>
    </w:p>
    <w:p>
      <w:pPr>
        <w:pStyle w:val="0"/>
        <w:spacing w:before="240" w:line-rule="auto"/>
        <w:ind w:firstLine="540"/>
        <w:jc w:val="both"/>
      </w:pPr>
      <w:r>
        <w:rPr>
          <w:sz w:val="24"/>
        </w:rPr>
        <w:t xml:space="preserve">Заявитель имеет право обратиться с жалобой лично или направить письменное обращение, жалобу.</w:t>
      </w:r>
    </w:p>
    <w:p>
      <w:pPr>
        <w:pStyle w:val="0"/>
        <w:spacing w:before="240" w:line-rule="auto"/>
        <w:ind w:firstLine="540"/>
        <w:jc w:val="both"/>
      </w:pPr>
      <w:r>
        <w:rPr>
          <w:sz w:val="24"/>
        </w:rPr>
        <w:t xml:space="preserve">29. Должностные лица Федерального агентства по культуре и кинематографии, участвующие в исполнении государственной функции, проводят личный прием заявителей.</w:t>
      </w:r>
    </w:p>
    <w:p>
      <w:pPr>
        <w:pStyle w:val="0"/>
        <w:spacing w:before="240" w:line-rule="auto"/>
        <w:ind w:firstLine="540"/>
        <w:jc w:val="both"/>
      </w:pPr>
      <w:r>
        <w:rPr>
          <w:sz w:val="24"/>
        </w:rPr>
        <w:t xml:space="preserve">Информация о месте приема, а также об установленных для приема днях и часах размещается на официальном сайте Федерального агентства по культуре и кинематографии.</w:t>
      </w:r>
    </w:p>
    <w:p>
      <w:pPr>
        <w:pStyle w:val="0"/>
        <w:spacing w:before="240" w:line-rule="auto"/>
        <w:ind w:firstLine="540"/>
        <w:jc w:val="both"/>
      </w:pPr>
      <w:r>
        <w:rPr>
          <w:sz w:val="24"/>
        </w:rPr>
        <w:t xml:space="preserve">30. При обращении заявителя в письменной форме срок рассмотрения обращения (жалобы) не должен превышать тридцати дней с момента получения обращения (жалобы).</w:t>
      </w:r>
    </w:p>
    <w:p>
      <w:pPr>
        <w:pStyle w:val="0"/>
        <w:spacing w:before="240" w:line-rule="auto"/>
        <w:ind w:firstLine="540"/>
        <w:jc w:val="both"/>
      </w:pPr>
      <w:r>
        <w:rPr>
          <w:sz w:val="24"/>
        </w:rPr>
        <w:t xml:space="preserve">В случае если по обращению (жалобе) требуется провести экспертизу, проверку или обследование, срок рассмотрения обращения (жалобы) может быть продлен, но не более чем на один месяц по решению руководителя Федерального агентства по культуре и кинематографии или лица, исполняющего его обязанности. О продлении срока рассмотрения обращения (жалобы) заявитель уведомляется письменно с указанием причин продления.</w:t>
      </w:r>
    </w:p>
    <w:p>
      <w:pPr>
        <w:pStyle w:val="0"/>
        <w:spacing w:before="240" w:line-rule="auto"/>
        <w:ind w:firstLine="540"/>
        <w:jc w:val="both"/>
      </w:pPr>
      <w:r>
        <w:rPr>
          <w:sz w:val="24"/>
        </w:rPr>
        <w:t xml:space="preserve">31. Обращение (жалоба) заявителя в письменной форме должно содержать следующую информацию:</w:t>
      </w:r>
    </w:p>
    <w:p>
      <w:pPr>
        <w:pStyle w:val="0"/>
        <w:spacing w:before="240" w:line-rule="auto"/>
        <w:ind w:firstLine="540"/>
        <w:jc w:val="both"/>
      </w:pPr>
      <w:r>
        <w:rPr>
          <w:sz w:val="24"/>
        </w:rPr>
        <w:t xml:space="preserve">наименование государственного органа, в который направляется письменное обращение (жалоба), либо фамилию, имя, отчество, должность соответствующего должностного лица;</w:t>
      </w:r>
    </w:p>
    <w:p>
      <w:pPr>
        <w:pStyle w:val="0"/>
        <w:spacing w:before="240" w:line-rule="auto"/>
        <w:ind w:firstLine="540"/>
        <w:jc w:val="both"/>
      </w:pPr>
      <w:r>
        <w:rPr>
          <w:sz w:val="24"/>
        </w:rPr>
        <w:t xml:space="preserve">фамилию, имя, отчество гражданина (последнее - при наличии), наименование юридического лица, которым подается обращение (жалоба), почтовый адрес, по которому должен быть направлен ответ;</w:t>
      </w:r>
    </w:p>
    <w:p>
      <w:pPr>
        <w:pStyle w:val="0"/>
        <w:spacing w:before="240" w:line-rule="auto"/>
        <w:ind w:firstLine="540"/>
        <w:jc w:val="both"/>
      </w:pPr>
      <w:r>
        <w:rPr>
          <w:sz w:val="24"/>
        </w:rPr>
        <w:t xml:space="preserve">суть обжалуемого действия (бездействия);</w:t>
      </w:r>
    </w:p>
    <w:p>
      <w:pPr>
        <w:pStyle w:val="0"/>
        <w:spacing w:before="240" w:line-rule="auto"/>
        <w:ind w:firstLine="540"/>
        <w:jc w:val="both"/>
      </w:pPr>
      <w:r>
        <w:rPr>
          <w:sz w:val="24"/>
        </w:rPr>
        <w:t xml:space="preserve">причины несогласия с обжалуемым действием (бездействием);</w:t>
      </w:r>
    </w:p>
    <w:p>
      <w:pPr>
        <w:pStyle w:val="0"/>
        <w:spacing w:before="240" w:line-rule="auto"/>
        <w:ind w:firstLine="540"/>
        <w:jc w:val="both"/>
      </w:pPr>
      <w:r>
        <w:rPr>
          <w:sz w:val="24"/>
        </w:rPr>
        <w:t xml:space="preserve">обстоятельства, на основании которых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pPr>
        <w:pStyle w:val="0"/>
        <w:spacing w:before="240" w:line-rule="auto"/>
        <w:ind w:firstLine="540"/>
        <w:jc w:val="both"/>
      </w:pPr>
      <w:r>
        <w:rPr>
          <w:sz w:val="24"/>
        </w:rPr>
        <w:t xml:space="preserve">требования о признании незаконным действия (бездействия);</w:t>
      </w:r>
    </w:p>
    <w:p>
      <w:pPr>
        <w:pStyle w:val="0"/>
        <w:spacing w:before="240" w:line-rule="auto"/>
        <w:ind w:firstLine="540"/>
        <w:jc w:val="both"/>
      </w:pPr>
      <w:r>
        <w:rPr>
          <w:sz w:val="24"/>
        </w:rPr>
        <w:t xml:space="preserve">иные сведения, которые заявитель считает необходимым сообщить.</w:t>
      </w:r>
    </w:p>
    <w:p>
      <w:pPr>
        <w:pStyle w:val="0"/>
        <w:spacing w:before="240" w:line-rule="auto"/>
        <w:ind w:firstLine="540"/>
        <w:jc w:val="both"/>
      </w:pPr>
      <w:r>
        <w:rPr>
          <w:sz w:val="24"/>
        </w:rPr>
        <w:t xml:space="preserve">В случае необходимости в подтверждение своих доводов к обращению (жалобе) прилагаются документы и материалы либо их копии. В таком случае в обращении (жалобе) приводится перечень прилагаемых к ней документов.</w:t>
      </w:r>
    </w:p>
    <w:p>
      <w:pPr>
        <w:pStyle w:val="0"/>
        <w:spacing w:before="240" w:line-rule="auto"/>
        <w:ind w:firstLine="540"/>
        <w:jc w:val="both"/>
      </w:pPr>
      <w:r>
        <w:rPr>
          <w:sz w:val="24"/>
        </w:rPr>
        <w:t xml:space="preserve">Обращение (жалоба) подписывается подавшим ее лицом.</w:t>
      </w:r>
    </w:p>
    <w:p>
      <w:pPr>
        <w:pStyle w:val="0"/>
        <w:spacing w:before="240" w:line-rule="auto"/>
        <w:ind w:firstLine="540"/>
        <w:jc w:val="both"/>
      </w:pPr>
      <w:r>
        <w:rPr>
          <w:sz w:val="24"/>
        </w:rPr>
        <w:t xml:space="preserve">32. По результатам рассмотрения обращения (жалобы) должностное лицо, ответственный или уполномоченный работник принимает решение об удовлетворении требований заявителя о признании неправомерным действия (бездействия) либо об отказе в удовлетворении обращения (жалобы).</w:t>
      </w:r>
    </w:p>
    <w:p>
      <w:pPr>
        <w:pStyle w:val="0"/>
        <w:spacing w:before="240" w:line-rule="auto"/>
        <w:ind w:firstLine="540"/>
        <w:jc w:val="both"/>
      </w:pPr>
      <w:r>
        <w:rPr>
          <w:sz w:val="24"/>
        </w:rPr>
        <w:t xml:space="preserve">Письменный ответ, содержащий результаты рассмотрения обращения (жалобы), направляется заявителю.</w:t>
      </w:r>
    </w:p>
    <w:p>
      <w:pPr>
        <w:pStyle w:val="0"/>
        <w:spacing w:before="240" w:line-rule="auto"/>
        <w:ind w:firstLine="540"/>
        <w:jc w:val="both"/>
      </w:pPr>
      <w:r>
        <w:rPr>
          <w:sz w:val="24"/>
        </w:rPr>
        <w:t xml:space="preserve">33. Письменный ответ на обращение (жалобу) заявителя не дается в случаях:</w:t>
      </w:r>
    </w:p>
    <w:p>
      <w:pPr>
        <w:pStyle w:val="0"/>
        <w:spacing w:before="240" w:line-rule="auto"/>
        <w:ind w:firstLine="540"/>
        <w:jc w:val="both"/>
      </w:pPr>
      <w:r>
        <w:rPr>
          <w:sz w:val="24"/>
        </w:rPr>
        <w:t xml:space="preserve">если в обращении (жалобе) не указаны фамилия, имя, отчество либо наименование юридического лица, направившего обращение (жалобу), и почтовый адрес, по которому должен быть направлен ответ;</w:t>
      </w:r>
    </w:p>
    <w:p>
      <w:pPr>
        <w:pStyle w:val="0"/>
        <w:spacing w:before="240" w:line-rule="auto"/>
        <w:ind w:firstLine="540"/>
        <w:jc w:val="both"/>
      </w:pPr>
      <w:r>
        <w:rPr>
          <w:sz w:val="24"/>
        </w:rPr>
        <w:t xml:space="preserve">отсутствия подписи заявителя;</w:t>
      </w:r>
    </w:p>
    <w:p>
      <w:pPr>
        <w:pStyle w:val="0"/>
        <w:spacing w:before="240" w:line-rule="auto"/>
        <w:ind w:firstLine="540"/>
        <w:jc w:val="both"/>
      </w:pPr>
      <w:r>
        <w:rPr>
          <w:sz w:val="24"/>
        </w:rPr>
        <w:t xml:space="preserve">если текст жалобы (обращения) не поддается прочтению.</w:t>
      </w:r>
    </w:p>
    <w:p>
      <w:pPr>
        <w:pStyle w:val="0"/>
        <w:ind w:firstLine="540"/>
        <w:jc w:val="both"/>
      </w:pPr>
      <w:r>
        <w:rPr>
          <w:sz w:val="24"/>
        </w:rPr>
      </w:r>
    </w:p>
    <w:p>
      <w:pPr>
        <w:pStyle w:val="0"/>
        <w:outlineLvl w:val="1"/>
        <w:jc w:val="center"/>
      </w:pPr>
      <w:r>
        <w:rPr>
          <w:sz w:val="24"/>
        </w:rPr>
        <w:t xml:space="preserve">IV. Порядок и формы контроля исполнения</w:t>
      </w:r>
    </w:p>
    <w:p>
      <w:pPr>
        <w:pStyle w:val="0"/>
        <w:jc w:val="center"/>
      </w:pPr>
      <w:r>
        <w:rPr>
          <w:sz w:val="24"/>
        </w:rPr>
        <w:t xml:space="preserve">государственной функции</w:t>
      </w:r>
    </w:p>
    <w:p>
      <w:pPr>
        <w:pStyle w:val="0"/>
        <w:ind w:firstLine="540"/>
        <w:jc w:val="both"/>
      </w:pPr>
      <w:r>
        <w:rPr>
          <w:sz w:val="24"/>
        </w:rPr>
      </w:r>
    </w:p>
    <w:p>
      <w:pPr>
        <w:pStyle w:val="0"/>
        <w:ind w:firstLine="540"/>
        <w:jc w:val="both"/>
      </w:pPr>
      <w:r>
        <w:rPr>
          <w:sz w:val="24"/>
        </w:rPr>
        <w:t xml:space="preserve">34. Текущий контроль за соблюдением последовательности действий, определенных административными процедурами по осуществлению государственной функции, осуществляется руководителем соответствующего структурного подразделения Роскультуры в соответствии с положениями о структурных подразделениях, должностными регламентами и должностными инструкциями путем проведения проверок соблюдения и исполнения работниками структурного подразделения положений настоящего Административного регламента.</w:t>
      </w:r>
    </w:p>
    <w:p>
      <w:pPr>
        <w:pStyle w:val="0"/>
        <w:spacing w:before="240" w:line-rule="auto"/>
        <w:ind w:firstLine="540"/>
        <w:jc w:val="both"/>
      </w:pPr>
      <w:r>
        <w:rPr>
          <w:sz w:val="24"/>
        </w:rPr>
        <w:t xml:space="preserve">Периодичность осуществления текущего контроля устанавливается руководителем данного структурного подразделения.</w:t>
      </w:r>
    </w:p>
    <w:p>
      <w:pPr>
        <w:pStyle w:val="0"/>
        <w:spacing w:before="240" w:line-rule="auto"/>
        <w:ind w:firstLine="540"/>
        <w:jc w:val="both"/>
      </w:pPr>
      <w:r>
        <w:rPr>
          <w:sz w:val="24"/>
        </w:rPr>
        <w:t xml:space="preserve">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pPr>
        <w:pStyle w:val="0"/>
        <w:spacing w:before="240" w:line-rule="auto"/>
        <w:ind w:firstLine="540"/>
        <w:jc w:val="both"/>
      </w:pPr>
      <w:r>
        <w:rPr>
          <w:sz w:val="24"/>
        </w:rPr>
        <w:t xml:space="preserve">35. Контроль полноты и качества осуществления государственной функции включает в себя проведение проверок, выявление и устранение нарушений прав Заявителей, рассмотрение, принятие решений и подготовку ответов на их обращения, содержащих жалобы на решения, действия (бездействие) работников Роскультуры.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w:t>
      </w:r>
    </w:p>
    <w:p>
      <w:pPr>
        <w:pStyle w:val="0"/>
        <w:jc w:val="right"/>
      </w:pPr>
      <w:r>
        <w:rPr>
          <w:sz w:val="24"/>
        </w:rPr>
        <w:t xml:space="preserve">функции по определению</w:t>
      </w:r>
    </w:p>
    <w:p>
      <w:pPr>
        <w:pStyle w:val="0"/>
        <w:jc w:val="right"/>
      </w:pPr>
      <w:r>
        <w:rPr>
          <w:sz w:val="24"/>
        </w:rPr>
        <w:t xml:space="preserve">в установленном порядке</w:t>
      </w:r>
    </w:p>
    <w:p>
      <w:pPr>
        <w:pStyle w:val="0"/>
        <w:jc w:val="right"/>
      </w:pPr>
      <w:r>
        <w:rPr>
          <w:sz w:val="24"/>
        </w:rPr>
        <w:t xml:space="preserve">состава Музейного фонда</w:t>
      </w:r>
    </w:p>
    <w:p>
      <w:pPr>
        <w:pStyle w:val="0"/>
        <w:jc w:val="right"/>
      </w:pPr>
      <w:r>
        <w:rPr>
          <w:sz w:val="24"/>
        </w:rPr>
        <w:t xml:space="preserve">Российской Федерации, включение</w:t>
      </w:r>
    </w:p>
    <w:p>
      <w:pPr>
        <w:pStyle w:val="0"/>
        <w:jc w:val="right"/>
      </w:pPr>
      <w:r>
        <w:rPr>
          <w:sz w:val="24"/>
        </w:rPr>
        <w:t xml:space="preserve">в установленном порядке</w:t>
      </w:r>
    </w:p>
    <w:p>
      <w:pPr>
        <w:pStyle w:val="0"/>
        <w:jc w:val="right"/>
      </w:pPr>
      <w:r>
        <w:rPr>
          <w:sz w:val="24"/>
        </w:rPr>
        <w:t xml:space="preserve">музейных предметов и музейных</w:t>
      </w:r>
    </w:p>
    <w:p>
      <w:pPr>
        <w:pStyle w:val="0"/>
        <w:jc w:val="right"/>
      </w:pPr>
      <w:r>
        <w:rPr>
          <w:sz w:val="24"/>
        </w:rPr>
        <w:t xml:space="preserve">коллекций в состав Музейного фонда</w:t>
      </w:r>
    </w:p>
    <w:p>
      <w:pPr>
        <w:pStyle w:val="0"/>
        <w:jc w:val="right"/>
      </w:pPr>
      <w:r>
        <w:rPr>
          <w:sz w:val="24"/>
        </w:rPr>
        <w:t xml:space="preserve">Российской Федерации и исключение</w:t>
      </w:r>
    </w:p>
    <w:p>
      <w:pPr>
        <w:pStyle w:val="0"/>
        <w:jc w:val="right"/>
      </w:pPr>
      <w:r>
        <w:rPr>
          <w:sz w:val="24"/>
        </w:rPr>
        <w:t xml:space="preserve">их из состава этого фонда</w:t>
      </w:r>
    </w:p>
    <w:p>
      <w:pPr>
        <w:pStyle w:val="0"/>
        <w:jc w:val="right"/>
      </w:pPr>
      <w:r>
        <w:rPr>
          <w:sz w:val="24"/>
        </w:rPr>
      </w:r>
    </w:p>
    <w:p>
      <w:pPr>
        <w:pStyle w:val="0"/>
        <w:jc w:val="right"/>
      </w:pPr>
      <w:r>
        <w:rPr>
          <w:sz w:val="24"/>
        </w:rPr>
        <w:t xml:space="preserve">Образец</w:t>
      </w:r>
    </w:p>
    <w:p>
      <w:pPr>
        <w:pStyle w:val="0"/>
        <w:jc w:val="right"/>
      </w:pPr>
      <w:r>
        <w:rPr>
          <w:sz w:val="24"/>
        </w:rPr>
      </w:r>
    </w:p>
    <w:bookmarkStart w:id="263" w:name="P263"/>
    <w:bookmarkEnd w:id="263"/>
    <w:p>
      <w:pPr>
        <w:pStyle w:val="0"/>
        <w:jc w:val="center"/>
      </w:pPr>
      <w:r>
        <w:rPr>
          <w:sz w:val="24"/>
        </w:rPr>
        <w:t xml:space="preserve">Перечень предметов,</w:t>
      </w:r>
    </w:p>
    <w:p>
      <w:pPr>
        <w:pStyle w:val="0"/>
        <w:jc w:val="center"/>
      </w:pPr>
      <w:r>
        <w:rPr>
          <w:sz w:val="24"/>
        </w:rPr>
        <w:t xml:space="preserve">заявленных для включения в состав государственной части</w:t>
      </w:r>
    </w:p>
    <w:p>
      <w:pPr>
        <w:pStyle w:val="0"/>
        <w:jc w:val="center"/>
      </w:pPr>
      <w:r>
        <w:rPr>
          <w:sz w:val="24"/>
        </w:rPr>
        <w:t xml:space="preserve">Музейного фонда Российской Федерации</w:t>
      </w:r>
    </w:p>
    <w:p>
      <w:pPr>
        <w:pStyle w:val="0"/>
        <w:jc w:val="center"/>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891"/>
        <w:gridCol w:w="1644"/>
        <w:gridCol w:w="2268"/>
        <w:gridCol w:w="1531"/>
        <w:gridCol w:w="2211"/>
      </w:tblGrid>
      <w:tr>
        <w:tc>
          <w:tcPr>
            <w:tcW w:w="680" w:type="dxa"/>
          </w:tcPr>
          <w:p>
            <w:pPr>
              <w:pStyle w:val="0"/>
              <w:jc w:val="center"/>
            </w:pPr>
            <w:r>
              <w:rPr>
                <w:sz w:val="24"/>
              </w:rPr>
              <w:t xml:space="preserve">N</w:t>
            </w:r>
          </w:p>
          <w:p>
            <w:pPr>
              <w:pStyle w:val="0"/>
              <w:jc w:val="center"/>
            </w:pPr>
            <w:r>
              <w:rPr>
                <w:sz w:val="24"/>
              </w:rPr>
              <w:t xml:space="preserve">п/п</w:t>
            </w:r>
          </w:p>
        </w:tc>
        <w:tc>
          <w:tcPr>
            <w:tcW w:w="2891" w:type="dxa"/>
          </w:tcPr>
          <w:p>
            <w:pPr>
              <w:pStyle w:val="0"/>
              <w:jc w:val="center"/>
            </w:pPr>
            <w:r>
              <w:rPr>
                <w:sz w:val="24"/>
              </w:rPr>
              <w:t xml:space="preserve">Автор, наименование, ключевое слово</w:t>
            </w:r>
          </w:p>
        </w:tc>
        <w:tc>
          <w:tcPr>
            <w:tcW w:w="1644" w:type="dxa"/>
          </w:tcPr>
          <w:p>
            <w:pPr>
              <w:pStyle w:val="0"/>
              <w:jc w:val="center"/>
            </w:pPr>
            <w:r>
              <w:rPr>
                <w:sz w:val="24"/>
              </w:rPr>
              <w:t xml:space="preserve">Время создания</w:t>
            </w:r>
          </w:p>
        </w:tc>
        <w:tc>
          <w:tcPr>
            <w:tcW w:w="2268" w:type="dxa"/>
          </w:tcPr>
          <w:p>
            <w:pPr>
              <w:pStyle w:val="0"/>
              <w:jc w:val="center"/>
            </w:pPr>
            <w:r>
              <w:rPr>
                <w:sz w:val="24"/>
              </w:rPr>
              <w:t xml:space="preserve">Размер, материал, техника</w:t>
            </w:r>
          </w:p>
        </w:tc>
        <w:tc>
          <w:tcPr>
            <w:tcW w:w="1531" w:type="dxa"/>
          </w:tcPr>
          <w:p>
            <w:pPr>
              <w:pStyle w:val="0"/>
              <w:jc w:val="center"/>
            </w:pPr>
            <w:r>
              <w:rPr>
                <w:sz w:val="24"/>
              </w:rPr>
              <w:t xml:space="preserve">Краткое описание</w:t>
            </w:r>
          </w:p>
        </w:tc>
        <w:tc>
          <w:tcPr>
            <w:tcW w:w="2211" w:type="dxa"/>
          </w:tcPr>
          <w:p>
            <w:pPr>
              <w:pStyle w:val="0"/>
              <w:jc w:val="center"/>
            </w:pPr>
            <w:r>
              <w:rPr>
                <w:sz w:val="24"/>
              </w:rPr>
              <w:t xml:space="preserve">N и дата протокола ЭФЗК</w:t>
            </w:r>
          </w:p>
        </w:tc>
      </w:tr>
      <w:tr>
        <w:tc>
          <w:tcPr>
            <w:tcW w:w="680" w:type="dxa"/>
          </w:tcPr>
          <w:p>
            <w:pPr>
              <w:pStyle w:val="0"/>
            </w:pPr>
            <w:r>
              <w:rPr>
                <w:sz w:val="24"/>
              </w:rPr>
              <w:t xml:space="preserve">1.</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1531" w:type="dxa"/>
          </w:tcPr>
          <w:p>
            <w:pPr>
              <w:pStyle w:val="0"/>
              <w:jc w:val="both"/>
            </w:pPr>
            <w:r>
              <w:rPr>
                <w:sz w:val="24"/>
              </w:rPr>
            </w:r>
          </w:p>
        </w:tc>
        <w:tc>
          <w:tcPr>
            <w:tcW w:w="2211" w:type="dxa"/>
          </w:tcPr>
          <w:p>
            <w:pPr>
              <w:pStyle w:val="0"/>
              <w:jc w:val="both"/>
            </w:pPr>
            <w:r>
              <w:rPr>
                <w:sz w:val="24"/>
              </w:rPr>
            </w:r>
          </w:p>
        </w:tc>
      </w:tr>
      <w:tr>
        <w:tc>
          <w:tcPr>
            <w:tcW w:w="680" w:type="dxa"/>
          </w:tcPr>
          <w:p>
            <w:pPr>
              <w:pStyle w:val="0"/>
            </w:pPr>
            <w:r>
              <w:rPr>
                <w:sz w:val="24"/>
              </w:rPr>
              <w:t xml:space="preserve">2.</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1531" w:type="dxa"/>
          </w:tcPr>
          <w:p>
            <w:pPr>
              <w:pStyle w:val="0"/>
              <w:jc w:val="both"/>
            </w:pPr>
            <w:r>
              <w:rPr>
                <w:sz w:val="24"/>
              </w:rPr>
            </w:r>
          </w:p>
        </w:tc>
        <w:tc>
          <w:tcPr>
            <w:tcW w:w="2211" w:type="dxa"/>
          </w:tcPr>
          <w:p>
            <w:pPr>
              <w:pStyle w:val="0"/>
              <w:jc w:val="both"/>
            </w:pPr>
            <w:r>
              <w:rPr>
                <w:sz w:val="24"/>
              </w:rPr>
            </w:r>
          </w:p>
        </w:tc>
      </w:tr>
      <w:tr>
        <w:tc>
          <w:tcPr>
            <w:tcW w:w="680" w:type="dxa"/>
          </w:tcPr>
          <w:p>
            <w:pPr>
              <w:pStyle w:val="0"/>
            </w:pPr>
            <w:r>
              <w:rPr>
                <w:sz w:val="24"/>
              </w:rPr>
              <w:t xml:space="preserve">3.</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1531" w:type="dxa"/>
          </w:tcPr>
          <w:p>
            <w:pPr>
              <w:pStyle w:val="0"/>
              <w:jc w:val="both"/>
            </w:pPr>
            <w:r>
              <w:rPr>
                <w:sz w:val="24"/>
              </w:rPr>
            </w:r>
          </w:p>
        </w:tc>
        <w:tc>
          <w:tcPr>
            <w:tcW w:w="2211" w:type="dxa"/>
          </w:tcPr>
          <w:p>
            <w:pPr>
              <w:pStyle w:val="0"/>
              <w:jc w:val="both"/>
            </w:pPr>
            <w:r>
              <w:rPr>
                <w:sz w:val="24"/>
              </w:rPr>
            </w:r>
          </w:p>
        </w:tc>
      </w:tr>
      <w:tr>
        <w:tc>
          <w:tcPr>
            <w:tcW w:w="680" w:type="dxa"/>
          </w:tcPr>
          <w:p>
            <w:pPr>
              <w:pStyle w:val="0"/>
            </w:pPr>
            <w:r>
              <w:rPr>
                <w:sz w:val="24"/>
              </w:rPr>
              <w:t xml:space="preserve">4.</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1531" w:type="dxa"/>
          </w:tcPr>
          <w:p>
            <w:pPr>
              <w:pStyle w:val="0"/>
              <w:jc w:val="both"/>
            </w:pPr>
            <w:r>
              <w:rPr>
                <w:sz w:val="24"/>
              </w:rPr>
            </w:r>
          </w:p>
        </w:tc>
        <w:tc>
          <w:tcPr>
            <w:tcW w:w="2211" w:type="dxa"/>
          </w:tcPr>
          <w:p>
            <w:pPr>
              <w:pStyle w:val="0"/>
              <w:jc w:val="both"/>
            </w:pPr>
            <w:r>
              <w:rPr>
                <w:sz w:val="24"/>
              </w:rPr>
            </w:r>
          </w:p>
        </w:tc>
      </w:tr>
    </w:tbl>
    <w:p>
      <w:pPr>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исполнения государственной</w:t>
      </w:r>
    </w:p>
    <w:p>
      <w:pPr>
        <w:pStyle w:val="0"/>
        <w:jc w:val="right"/>
      </w:pPr>
      <w:r>
        <w:rPr>
          <w:sz w:val="24"/>
        </w:rPr>
        <w:t xml:space="preserve">функции по определению</w:t>
      </w:r>
    </w:p>
    <w:p>
      <w:pPr>
        <w:pStyle w:val="0"/>
        <w:jc w:val="right"/>
      </w:pPr>
      <w:r>
        <w:rPr>
          <w:sz w:val="24"/>
        </w:rPr>
        <w:t xml:space="preserve">в установленном порядке</w:t>
      </w:r>
    </w:p>
    <w:p>
      <w:pPr>
        <w:pStyle w:val="0"/>
        <w:jc w:val="right"/>
      </w:pPr>
      <w:r>
        <w:rPr>
          <w:sz w:val="24"/>
        </w:rPr>
        <w:t xml:space="preserve">состава Музейного фонда</w:t>
      </w:r>
    </w:p>
    <w:p>
      <w:pPr>
        <w:pStyle w:val="0"/>
        <w:jc w:val="right"/>
      </w:pPr>
      <w:r>
        <w:rPr>
          <w:sz w:val="24"/>
        </w:rPr>
        <w:t xml:space="preserve">Российской Федерации, включение</w:t>
      </w:r>
    </w:p>
    <w:p>
      <w:pPr>
        <w:pStyle w:val="0"/>
        <w:jc w:val="right"/>
      </w:pPr>
      <w:r>
        <w:rPr>
          <w:sz w:val="24"/>
        </w:rPr>
        <w:t xml:space="preserve">в установленном порядке</w:t>
      </w:r>
    </w:p>
    <w:p>
      <w:pPr>
        <w:pStyle w:val="0"/>
        <w:jc w:val="right"/>
      </w:pPr>
      <w:r>
        <w:rPr>
          <w:sz w:val="24"/>
        </w:rPr>
        <w:t xml:space="preserve">музейных предметов и музейных</w:t>
      </w:r>
    </w:p>
    <w:p>
      <w:pPr>
        <w:pStyle w:val="0"/>
        <w:jc w:val="right"/>
      </w:pPr>
      <w:r>
        <w:rPr>
          <w:sz w:val="24"/>
        </w:rPr>
        <w:t xml:space="preserve">коллекций в состав Музейного фонда</w:t>
      </w:r>
    </w:p>
    <w:p>
      <w:pPr>
        <w:pStyle w:val="0"/>
        <w:jc w:val="right"/>
      </w:pPr>
      <w:r>
        <w:rPr>
          <w:sz w:val="24"/>
        </w:rPr>
        <w:t xml:space="preserve">Российской Федерации и исключение</w:t>
      </w:r>
    </w:p>
    <w:p>
      <w:pPr>
        <w:pStyle w:val="0"/>
        <w:jc w:val="right"/>
      </w:pPr>
      <w:r>
        <w:rPr>
          <w:sz w:val="24"/>
        </w:rPr>
        <w:t xml:space="preserve">их из состава этого фонда</w:t>
      </w:r>
    </w:p>
    <w:p>
      <w:pPr>
        <w:pStyle w:val="0"/>
        <w:jc w:val="right"/>
      </w:pPr>
      <w:r>
        <w:rPr>
          <w:sz w:val="24"/>
        </w:rPr>
      </w:r>
    </w:p>
    <w:p>
      <w:pPr>
        <w:pStyle w:val="0"/>
        <w:jc w:val="right"/>
      </w:pPr>
      <w:r>
        <w:rPr>
          <w:sz w:val="24"/>
        </w:rPr>
        <w:t xml:space="preserve">Образец</w:t>
      </w:r>
    </w:p>
    <w:p>
      <w:pPr>
        <w:pStyle w:val="0"/>
        <w:ind w:firstLine="540"/>
        <w:jc w:val="both"/>
      </w:pPr>
      <w:r>
        <w:rPr>
          <w:sz w:val="24"/>
        </w:rPr>
      </w:r>
    </w:p>
    <w:bookmarkStart w:id="318" w:name="P318"/>
    <w:bookmarkEnd w:id="318"/>
    <w:p>
      <w:pPr>
        <w:pStyle w:val="0"/>
        <w:jc w:val="center"/>
      </w:pPr>
      <w:r>
        <w:rPr>
          <w:sz w:val="24"/>
        </w:rPr>
        <w:t xml:space="preserve">Перечень предметов,</w:t>
      </w:r>
    </w:p>
    <w:p>
      <w:pPr>
        <w:pStyle w:val="0"/>
        <w:jc w:val="center"/>
      </w:pPr>
      <w:r>
        <w:rPr>
          <w:sz w:val="24"/>
        </w:rPr>
        <w:t xml:space="preserve">заявленных для включения в состав негосударственной части</w:t>
      </w:r>
    </w:p>
    <w:p>
      <w:pPr>
        <w:pStyle w:val="0"/>
        <w:jc w:val="center"/>
      </w:pPr>
      <w:r>
        <w:rPr>
          <w:sz w:val="24"/>
        </w:rPr>
        <w:t xml:space="preserve">Музейного фонда Российской Федерации</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0"/>
        <w:gridCol w:w="2891"/>
        <w:gridCol w:w="1644"/>
        <w:gridCol w:w="2268"/>
        <w:gridCol w:w="3005"/>
      </w:tblGrid>
      <w:tr>
        <w:tc>
          <w:tcPr>
            <w:tcW w:w="660" w:type="dxa"/>
          </w:tcPr>
          <w:p>
            <w:pPr>
              <w:pStyle w:val="0"/>
              <w:jc w:val="center"/>
            </w:pPr>
            <w:r>
              <w:rPr>
                <w:sz w:val="24"/>
              </w:rPr>
              <w:t xml:space="preserve">N</w:t>
            </w:r>
          </w:p>
          <w:p>
            <w:pPr>
              <w:pStyle w:val="0"/>
              <w:jc w:val="center"/>
            </w:pPr>
            <w:r>
              <w:rPr>
                <w:sz w:val="24"/>
              </w:rPr>
              <w:t xml:space="preserve">п/п</w:t>
            </w:r>
          </w:p>
        </w:tc>
        <w:tc>
          <w:tcPr>
            <w:tcW w:w="2891" w:type="dxa"/>
          </w:tcPr>
          <w:p>
            <w:pPr>
              <w:pStyle w:val="0"/>
              <w:jc w:val="center"/>
            </w:pPr>
            <w:r>
              <w:rPr>
                <w:sz w:val="24"/>
              </w:rPr>
              <w:t xml:space="preserve">Автор, наименование, ключевое слово</w:t>
            </w:r>
          </w:p>
        </w:tc>
        <w:tc>
          <w:tcPr>
            <w:tcW w:w="1644" w:type="dxa"/>
          </w:tcPr>
          <w:p>
            <w:pPr>
              <w:pStyle w:val="0"/>
              <w:jc w:val="center"/>
            </w:pPr>
            <w:r>
              <w:rPr>
                <w:sz w:val="24"/>
              </w:rPr>
              <w:t xml:space="preserve">Время создания</w:t>
            </w:r>
          </w:p>
        </w:tc>
        <w:tc>
          <w:tcPr>
            <w:tcW w:w="2268" w:type="dxa"/>
          </w:tcPr>
          <w:p>
            <w:pPr>
              <w:pStyle w:val="0"/>
              <w:jc w:val="center"/>
            </w:pPr>
            <w:r>
              <w:rPr>
                <w:sz w:val="24"/>
              </w:rPr>
              <w:t xml:space="preserve">Размер, материал, техника</w:t>
            </w:r>
          </w:p>
        </w:tc>
        <w:tc>
          <w:tcPr>
            <w:tcW w:w="3005" w:type="dxa"/>
          </w:tcPr>
          <w:p>
            <w:pPr>
              <w:pStyle w:val="0"/>
              <w:jc w:val="center"/>
            </w:pPr>
            <w:r>
              <w:rPr>
                <w:sz w:val="24"/>
              </w:rPr>
              <w:t xml:space="preserve">Краткое описание</w:t>
            </w:r>
          </w:p>
        </w:tc>
      </w:tr>
      <w:tr>
        <w:tc>
          <w:tcPr>
            <w:tcW w:w="660" w:type="dxa"/>
          </w:tcPr>
          <w:p>
            <w:pPr>
              <w:pStyle w:val="0"/>
            </w:pPr>
            <w:r>
              <w:rPr>
                <w:sz w:val="24"/>
              </w:rPr>
              <w:t xml:space="preserve">1.</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3005" w:type="dxa"/>
          </w:tcPr>
          <w:p>
            <w:pPr>
              <w:pStyle w:val="0"/>
              <w:jc w:val="both"/>
            </w:pPr>
            <w:r>
              <w:rPr>
                <w:sz w:val="24"/>
              </w:rPr>
            </w:r>
          </w:p>
        </w:tc>
      </w:tr>
      <w:tr>
        <w:tc>
          <w:tcPr>
            <w:tcW w:w="660" w:type="dxa"/>
          </w:tcPr>
          <w:p>
            <w:pPr>
              <w:pStyle w:val="0"/>
            </w:pPr>
            <w:r>
              <w:rPr>
                <w:sz w:val="24"/>
              </w:rPr>
              <w:t xml:space="preserve">2.</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3005" w:type="dxa"/>
          </w:tcPr>
          <w:p>
            <w:pPr>
              <w:pStyle w:val="0"/>
              <w:jc w:val="both"/>
            </w:pPr>
            <w:r>
              <w:rPr>
                <w:sz w:val="24"/>
              </w:rPr>
            </w:r>
          </w:p>
        </w:tc>
      </w:tr>
      <w:tr>
        <w:tc>
          <w:tcPr>
            <w:tcW w:w="660" w:type="dxa"/>
          </w:tcPr>
          <w:p>
            <w:pPr>
              <w:pStyle w:val="0"/>
            </w:pPr>
            <w:r>
              <w:rPr>
                <w:sz w:val="24"/>
              </w:rPr>
              <w:t xml:space="preserve">3.</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3005" w:type="dxa"/>
          </w:tcPr>
          <w:p>
            <w:pPr>
              <w:pStyle w:val="0"/>
              <w:jc w:val="both"/>
            </w:pPr>
            <w:r>
              <w:rPr>
                <w:sz w:val="24"/>
              </w:rPr>
            </w:r>
          </w:p>
        </w:tc>
      </w:tr>
      <w:tr>
        <w:tc>
          <w:tcPr>
            <w:tcW w:w="660" w:type="dxa"/>
          </w:tcPr>
          <w:p>
            <w:pPr>
              <w:pStyle w:val="0"/>
            </w:pPr>
            <w:r>
              <w:rPr>
                <w:sz w:val="24"/>
              </w:rPr>
              <w:t xml:space="preserve">4.</w:t>
            </w:r>
          </w:p>
        </w:tc>
        <w:tc>
          <w:tcPr>
            <w:tcW w:w="2891" w:type="dxa"/>
          </w:tcPr>
          <w:p>
            <w:pPr>
              <w:pStyle w:val="0"/>
              <w:jc w:val="both"/>
            </w:pPr>
            <w:r>
              <w:rPr>
                <w:sz w:val="24"/>
              </w:rPr>
            </w:r>
          </w:p>
        </w:tc>
        <w:tc>
          <w:tcPr>
            <w:tcW w:w="1644" w:type="dxa"/>
          </w:tcPr>
          <w:p>
            <w:pPr>
              <w:pStyle w:val="0"/>
              <w:jc w:val="both"/>
            </w:pPr>
            <w:r>
              <w:rPr>
                <w:sz w:val="24"/>
              </w:rPr>
            </w:r>
          </w:p>
        </w:tc>
        <w:tc>
          <w:tcPr>
            <w:tcW w:w="2268" w:type="dxa"/>
          </w:tcPr>
          <w:p>
            <w:pPr>
              <w:pStyle w:val="0"/>
              <w:jc w:val="both"/>
            </w:pPr>
            <w:r>
              <w:rPr>
                <w:sz w:val="24"/>
              </w:rPr>
            </w:r>
          </w:p>
        </w:tc>
        <w:tc>
          <w:tcPr>
            <w:tcW w:w="3005" w:type="dxa"/>
          </w:tcPr>
          <w:p>
            <w:pPr>
              <w:pStyle w:val="0"/>
              <w:jc w:val="both"/>
            </w:pPr>
            <w:r>
              <w:rPr>
                <w:sz w:val="24"/>
              </w:rPr>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22.11.2007 N 1319</w:t>
            <w:br/>
            <w:t>"Об утверждении Административного регламента исполнения Федеральным агент...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Минкультуры России от 22.11.2007 N 1319</w:t>
            <w:br/>
            <w:t>"Об утверждении Административного регламента исполнения Федеральным агент...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00303&amp;date=20.06.2025&amp;dst=100102&amp;field=134" TargetMode = "External"/>
	<Relationship Id="rId8" Type="http://schemas.openxmlformats.org/officeDocument/2006/relationships/hyperlink" Target="https://login.consultant.ru/link/?req=doc&amp;base=LAW&amp;n=499901&amp;date=20.06.2025&amp;dst=100066&amp;field=134" TargetMode = "External"/>
	<Relationship Id="rId9" Type="http://schemas.openxmlformats.org/officeDocument/2006/relationships/hyperlink" Target="https://login.consultant.ru/link/?req=doc&amp;base=LAW&amp;n=452673&amp;date=20.06.2025&amp;dst=100034&amp;field=134" TargetMode = "External"/>
	<Relationship Id="rId10" Type="http://schemas.openxmlformats.org/officeDocument/2006/relationships/hyperlink" Target="https://login.consultant.ru/link/?req=doc&amp;base=LAW&amp;n=452673&amp;date=20.06.2025&amp;dst=100039&amp;field=134" TargetMode = "External"/>
	<Relationship Id="rId11" Type="http://schemas.openxmlformats.org/officeDocument/2006/relationships/hyperlink" Target="https://login.consultant.ru/link/?req=doc&amp;base=LAW&amp;n=452673&amp;date=20.06.2025&amp;dst=100085&amp;field=134" TargetMode = "External"/>
	<Relationship Id="rId12" Type="http://schemas.openxmlformats.org/officeDocument/2006/relationships/hyperlink" Target="https://login.consultant.ru/link/?req=doc&amp;base=LAW&amp;n=482692&amp;date=20.06.2025" TargetMode = "External"/>
	<Relationship Id="rId13" Type="http://schemas.openxmlformats.org/officeDocument/2006/relationships/hyperlink" Target="https://login.consultant.ru/link/?req=doc&amp;base=LAW&amp;n=452673&amp;date=20.06.2025&amp;dst=100035&amp;field=134" TargetMode = "External"/>
	<Relationship Id="rId14" Type="http://schemas.openxmlformats.org/officeDocument/2006/relationships/hyperlink" Target="https://login.consultant.ru/link/?req=doc&amp;base=LAW&amp;n=53718&amp;date=20.06.2025&amp;dst=100044&amp;field=134" TargetMode = "External"/>
	<Relationship Id="rId15" Type="http://schemas.openxmlformats.org/officeDocument/2006/relationships/hyperlink" Target="https://login.consultant.ru/link/?req=doc&amp;base=LAW&amp;n=312416&amp;date=20.06.2025&amp;dst=100035&amp;field=134" TargetMode = "External"/>
	<Relationship Id="rId16" Type="http://schemas.openxmlformats.org/officeDocument/2006/relationships/hyperlink" Target="https://login.consultant.ru/link/?req=doc&amp;base=LAW&amp;n=30279&amp;date=20.06.2025" TargetMode = "External"/>
	<Relationship Id="rId17" Type="http://schemas.openxmlformats.org/officeDocument/2006/relationships/header" Target="header2.xml"/>
	<Relationship Id="rId18"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22.11.2007 N 1319
"Об утверждении Административного регламента исполнения Федеральным агентством по культуре и кинематографии государственной функции по определению в установленном порядке состава Музейного фонда Российской Федерации, включению в установленном Порядке музейных предметов и музейных коллекций в состав Музейного фонда Российской Федерации и исключению их из состава этого фонда"
(Зарегистрировано в Минюсте России 19.03.2008 N 11376)</dc:title>
  <dcterms:created xsi:type="dcterms:W3CDTF">2025-06-20T19:52:53Z</dcterms:created>
</cp:coreProperties>
</file>